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096210">
      <w:pPr>
        <w:jc w:val="left"/>
        <w:rPr>
          <w:rFonts w:hint="eastAsia" w:ascii="仿宋" w:hAnsi="仿宋" w:eastAsia="仿宋" w:cs="仿宋"/>
          <w:color w:val="000000"/>
        </w:rPr>
      </w:pPr>
    </w:p>
    <w:p w14:paraId="4E488ED0">
      <w:pPr>
        <w:rPr>
          <w:rFonts w:hint="eastAsia" w:ascii="仿宋" w:hAnsi="仿宋" w:eastAsia="仿宋" w:cs="仿宋"/>
          <w:color w:val="000000"/>
        </w:rPr>
      </w:pPr>
      <w:bookmarkStart w:id="0" w:name="EB3ace3d43b98b41779337deb808be6fa3"/>
      <w:r>
        <w:rPr>
          <w:rFonts w:hint="eastAsia" w:ascii="仿宋" w:hAnsi="仿宋" w:eastAsia="仿宋" w:cs="仿宋"/>
          <w:color w:val="000000"/>
          <w:sz w:val="20"/>
        </w:rPr>
        <w:t xml:space="preserve"> </w:t>
      </w:r>
      <w:bookmarkEnd w:id="0"/>
      <w:bookmarkStart w:id="1" w:name="EB57dd2a69e2b54b0cb3f5c2f03a1ab7bf"/>
      <w:r>
        <w:rPr>
          <w:rFonts w:hint="eastAsia" w:ascii="仿宋" w:hAnsi="仿宋" w:eastAsia="仿宋" w:cs="仿宋"/>
          <w:color w:val="000000"/>
          <w:sz w:val="20"/>
        </w:rPr>
        <w:t xml:space="preserve"> </w:t>
      </w:r>
      <w:bookmarkEnd w:id="1"/>
    </w:p>
    <w:p w14:paraId="40913913">
      <w:pPr>
        <w:rPr>
          <w:rFonts w:hint="eastAsia" w:ascii="仿宋" w:hAnsi="仿宋" w:eastAsia="仿宋" w:cs="仿宋"/>
          <w:color w:val="000000"/>
        </w:rPr>
      </w:pPr>
    </w:p>
    <w:p w14:paraId="2E1EBD8C">
      <w:pPr>
        <w:spacing w:before="120" w:after="120" w:line="360" w:lineRule="auto"/>
        <w:jc w:val="center"/>
        <w:rPr>
          <w:rFonts w:hint="eastAsia" w:ascii="仿宋" w:hAnsi="仿宋" w:eastAsia="仿宋" w:cs="仿宋"/>
          <w:b/>
          <w:color w:val="000000"/>
          <w:sz w:val="84"/>
          <w:szCs w:val="24"/>
          <w:lang w:bidi="ar"/>
        </w:rPr>
      </w:pPr>
      <w:r>
        <w:rPr>
          <w:rFonts w:hint="eastAsia" w:ascii="仿宋" w:hAnsi="仿宋" w:eastAsia="仿宋" w:cs="仿宋"/>
          <w:b/>
          <w:color w:val="000000"/>
          <w:sz w:val="84"/>
          <w:szCs w:val="24"/>
          <w:lang w:bidi="ar"/>
        </w:rPr>
        <w:t>招　标　文　件</w:t>
      </w:r>
    </w:p>
    <w:p w14:paraId="113F2691">
      <w:pPr>
        <w:rPr>
          <w:rFonts w:hint="eastAsia" w:ascii="仿宋" w:hAnsi="仿宋" w:eastAsia="仿宋" w:cs="仿宋"/>
          <w:b/>
          <w:color w:val="000000"/>
          <w:sz w:val="30"/>
          <w:szCs w:val="30"/>
          <w:lang w:bidi="ar"/>
        </w:rPr>
      </w:pPr>
    </w:p>
    <w:p w14:paraId="6CEA57F9">
      <w:pPr>
        <w:pStyle w:val="49"/>
        <w:rPr>
          <w:rFonts w:hint="eastAsia" w:ascii="仿宋" w:hAnsi="仿宋" w:eastAsia="仿宋" w:cs="仿宋"/>
        </w:rPr>
      </w:pPr>
    </w:p>
    <w:p w14:paraId="22498526">
      <w:pPr>
        <w:ind w:firstLine="1506"/>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项目名称：</w:t>
      </w:r>
      <w:r>
        <w:rPr>
          <w:rFonts w:hint="eastAsia" w:ascii="仿宋" w:hAnsi="仿宋" w:eastAsia="仿宋" w:cs="仿宋"/>
          <w:b/>
          <w:color w:val="000000"/>
          <w:sz w:val="30"/>
          <w:szCs w:val="30"/>
          <w:lang w:val="en-US" w:eastAsia="zh-CN" w:bidi="ar"/>
        </w:rPr>
        <w:t>泗洪县政务服务中心保洁服务采购项目</w:t>
      </w:r>
    </w:p>
    <w:p w14:paraId="49321A8A">
      <w:pPr>
        <w:ind w:firstLine="1506"/>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项目编号：</w:t>
      </w:r>
      <w:r>
        <w:rPr>
          <w:rFonts w:hint="eastAsia" w:ascii="仿宋" w:hAnsi="仿宋" w:eastAsia="仿宋" w:cs="仿宋"/>
          <w:b/>
          <w:color w:val="000000"/>
          <w:sz w:val="30"/>
          <w:szCs w:val="30"/>
          <w:lang w:val="en-US" w:eastAsia="zh-CN" w:bidi="ar"/>
        </w:rPr>
        <w:t>JSZC-321324-JZCG-G2026-0012</w:t>
      </w:r>
    </w:p>
    <w:p w14:paraId="40DC9CA4">
      <w:pPr>
        <w:ind w:firstLine="1506"/>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 </w:t>
      </w:r>
    </w:p>
    <w:p w14:paraId="7E7AE39A">
      <w:pPr>
        <w:ind w:left="2800" w:hanging="2800"/>
        <w:rPr>
          <w:rFonts w:hint="eastAsia" w:ascii="仿宋" w:hAnsi="仿宋" w:eastAsia="仿宋" w:cs="仿宋"/>
          <w:color w:val="000000"/>
          <w:sz w:val="28"/>
          <w:szCs w:val="28"/>
          <w:lang w:bidi="ar"/>
        </w:rPr>
      </w:pPr>
    </w:p>
    <w:p w14:paraId="3169CC10">
      <w:pPr>
        <w:ind w:left="2800" w:hanging="2800"/>
        <w:rPr>
          <w:rFonts w:hint="eastAsia" w:ascii="仿宋" w:hAnsi="仿宋" w:eastAsia="仿宋" w:cs="仿宋"/>
          <w:b/>
          <w:color w:val="000000"/>
          <w:sz w:val="28"/>
          <w:szCs w:val="28"/>
        </w:rPr>
      </w:pPr>
      <w:r>
        <w:rPr>
          <w:rFonts w:hint="eastAsia" w:ascii="仿宋" w:hAnsi="仿宋" w:eastAsia="仿宋" w:cs="仿宋"/>
          <w:color w:val="000000"/>
          <w:sz w:val="28"/>
          <w:szCs w:val="28"/>
          <w:lang w:bidi="ar"/>
        </w:rPr>
        <w:t xml:space="preserve">          </w:t>
      </w:r>
      <w:r>
        <w:rPr>
          <w:rFonts w:hint="eastAsia" w:ascii="仿宋" w:hAnsi="仿宋" w:eastAsia="仿宋" w:cs="仿宋"/>
          <w:b/>
          <w:color w:val="000000"/>
          <w:sz w:val="28"/>
          <w:szCs w:val="28"/>
          <w:lang w:bidi="ar"/>
        </w:rPr>
        <w:t xml:space="preserve"> </w:t>
      </w:r>
    </w:p>
    <w:p w14:paraId="46936788">
      <w:pPr>
        <w:ind w:firstLine="1506"/>
        <w:rPr>
          <w:rFonts w:hint="eastAsia" w:ascii="仿宋" w:hAnsi="仿宋" w:eastAsia="仿宋" w:cs="仿宋"/>
          <w:b/>
          <w:color w:val="000000"/>
          <w:sz w:val="30"/>
          <w:szCs w:val="30"/>
          <w:lang w:val="en-US" w:eastAsia="zh-CN" w:bidi="ar"/>
        </w:rPr>
      </w:pPr>
      <w:bookmarkStart w:id="2" w:name="_Toc11013"/>
      <w:r>
        <w:rPr>
          <w:rFonts w:hint="eastAsia" w:ascii="仿宋" w:hAnsi="仿宋" w:eastAsia="仿宋" w:cs="仿宋"/>
          <w:b/>
          <w:color w:val="000000"/>
          <w:sz w:val="30"/>
          <w:szCs w:val="30"/>
          <w:lang w:val="en-US" w:eastAsia="zh-CN" w:bidi="ar"/>
        </w:rPr>
        <w:t>（服务类项目，本项目</w:t>
      </w:r>
      <w:r>
        <w:rPr>
          <w:rFonts w:hint="eastAsia" w:ascii="仿宋" w:hAnsi="仿宋" w:eastAsia="仿宋" w:cs="仿宋"/>
          <w:b/>
          <w:color w:val="000000"/>
          <w:sz w:val="30"/>
          <w:szCs w:val="30"/>
          <w:u w:val="single"/>
          <w:lang w:val="en-US" w:eastAsia="zh-CN" w:bidi="ar"/>
        </w:rPr>
        <w:t xml:space="preserve"> 专 </w:t>
      </w:r>
      <w:r>
        <w:rPr>
          <w:rFonts w:hint="eastAsia" w:ascii="仿宋" w:hAnsi="仿宋" w:eastAsia="仿宋" w:cs="仿宋"/>
          <w:b/>
          <w:color w:val="000000"/>
          <w:sz w:val="30"/>
          <w:szCs w:val="30"/>
          <w:lang w:val="en-US" w:eastAsia="zh-CN" w:bidi="ar"/>
        </w:rPr>
        <w:t>门面向中小企业）</w:t>
      </w:r>
      <w:bookmarkEnd w:id="2"/>
    </w:p>
    <w:p w14:paraId="203FBD6E">
      <w:pPr>
        <w:spacing w:line="360" w:lineRule="auto"/>
        <w:jc w:val="left"/>
        <w:rPr>
          <w:rFonts w:hint="eastAsia" w:ascii="仿宋" w:hAnsi="仿宋" w:eastAsia="仿宋" w:cs="仿宋"/>
          <w:color w:val="000000"/>
          <w:sz w:val="24"/>
          <w:szCs w:val="24"/>
        </w:rPr>
      </w:pPr>
    </w:p>
    <w:p w14:paraId="08211558">
      <w:pPr>
        <w:spacing w:line="360" w:lineRule="auto"/>
        <w:jc w:val="left"/>
        <w:rPr>
          <w:rFonts w:hint="eastAsia" w:ascii="仿宋" w:hAnsi="仿宋" w:eastAsia="仿宋" w:cs="仿宋"/>
          <w:color w:val="000000"/>
          <w:sz w:val="24"/>
          <w:szCs w:val="24"/>
        </w:rPr>
      </w:pPr>
    </w:p>
    <w:p w14:paraId="38AEABAE">
      <w:pPr>
        <w:spacing w:line="360" w:lineRule="auto"/>
        <w:jc w:val="left"/>
        <w:rPr>
          <w:rFonts w:hint="eastAsia" w:ascii="仿宋" w:hAnsi="仿宋" w:eastAsia="仿宋" w:cs="仿宋"/>
          <w:color w:val="000000"/>
          <w:sz w:val="24"/>
          <w:szCs w:val="24"/>
        </w:rPr>
      </w:pPr>
    </w:p>
    <w:p w14:paraId="66B67EA4">
      <w:pPr>
        <w:spacing w:line="360" w:lineRule="auto"/>
        <w:jc w:val="left"/>
        <w:rPr>
          <w:rFonts w:hint="eastAsia" w:ascii="仿宋" w:hAnsi="仿宋" w:eastAsia="仿宋" w:cs="仿宋"/>
          <w:color w:val="000000"/>
          <w:sz w:val="24"/>
          <w:szCs w:val="24"/>
        </w:rPr>
      </w:pPr>
    </w:p>
    <w:tbl>
      <w:tblPr>
        <w:tblStyle w:val="40"/>
        <w:tblpPr w:leftFromText="180" w:rightFromText="180" w:vertAnchor="text" w:horzAnchor="page" w:tblpX="2413" w:tblpY="466"/>
        <w:tblW w:w="0" w:type="auto"/>
        <w:tblInd w:w="0" w:type="dxa"/>
        <w:tblLayout w:type="autofit"/>
        <w:tblCellMar>
          <w:top w:w="0" w:type="dxa"/>
          <w:left w:w="108" w:type="dxa"/>
          <w:bottom w:w="0" w:type="dxa"/>
          <w:right w:w="108" w:type="dxa"/>
        </w:tblCellMar>
      </w:tblPr>
      <w:tblGrid>
        <w:gridCol w:w="2675"/>
        <w:gridCol w:w="4752"/>
      </w:tblGrid>
      <w:tr w14:paraId="3CC00D8C">
        <w:tblPrEx>
          <w:tblCellMar>
            <w:top w:w="0" w:type="dxa"/>
            <w:left w:w="108" w:type="dxa"/>
            <w:bottom w:w="0" w:type="dxa"/>
            <w:right w:w="108" w:type="dxa"/>
          </w:tblCellMar>
        </w:tblPrEx>
        <w:trPr>
          <w:trHeight w:val="586" w:hRule="atLeast"/>
        </w:trPr>
        <w:tc>
          <w:tcPr>
            <w:tcW w:w="2675" w:type="dxa"/>
            <w:tcBorders>
              <w:top w:val="nil"/>
              <w:left w:val="nil"/>
              <w:right w:val="nil"/>
            </w:tcBorders>
            <w:noWrap w:val="0"/>
            <w:vAlign w:val="center"/>
          </w:tcPr>
          <w:p w14:paraId="29064C6F">
            <w:pPr>
              <w:spacing w:line="500" w:lineRule="exact"/>
              <w:jc w:val="lef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采  购 人：</w:t>
            </w:r>
          </w:p>
        </w:tc>
        <w:tc>
          <w:tcPr>
            <w:tcW w:w="4752" w:type="dxa"/>
            <w:tcBorders>
              <w:top w:val="nil"/>
              <w:left w:val="nil"/>
              <w:bottom w:val="nil"/>
              <w:right w:val="nil"/>
            </w:tcBorders>
            <w:noWrap w:val="0"/>
            <w:vAlign w:val="center"/>
          </w:tcPr>
          <w:p w14:paraId="7496177A">
            <w:pPr>
              <w:spacing w:line="500" w:lineRule="exact"/>
              <w:jc w:val="lef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泗洪县机关事务管理中心</w:t>
            </w:r>
          </w:p>
        </w:tc>
      </w:tr>
      <w:tr w14:paraId="78E556E8">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15AB03E9">
            <w:pPr>
              <w:spacing w:line="500" w:lineRule="exact"/>
              <w:jc w:val="lef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采购代理机构：</w:t>
            </w:r>
          </w:p>
        </w:tc>
        <w:tc>
          <w:tcPr>
            <w:tcW w:w="4752" w:type="dxa"/>
            <w:tcBorders>
              <w:top w:val="nil"/>
              <w:left w:val="nil"/>
              <w:bottom w:val="nil"/>
              <w:right w:val="nil"/>
            </w:tcBorders>
            <w:noWrap w:val="0"/>
            <w:vAlign w:val="center"/>
          </w:tcPr>
          <w:p w14:paraId="192EAA34">
            <w:pPr>
              <w:spacing w:line="50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泗洪县公共资源交易中心</w:t>
            </w:r>
          </w:p>
        </w:tc>
      </w:tr>
    </w:tbl>
    <w:p w14:paraId="6BDC457A">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p>
    <w:p w14:paraId="0E0579A5">
      <w:pPr>
        <w:spacing w:before="120" w:after="120" w:line="360" w:lineRule="auto"/>
        <w:ind w:firstLine="964"/>
        <w:jc w:val="left"/>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p>
    <w:p w14:paraId="6A99286D">
      <w:pPr>
        <w:spacing w:before="120" w:after="120" w:line="360" w:lineRule="auto"/>
        <w:jc w:val="center"/>
        <w:rPr>
          <w:rFonts w:hint="eastAsia" w:ascii="仿宋" w:hAnsi="仿宋" w:eastAsia="仿宋" w:cs="仿宋"/>
          <w:b/>
          <w:color w:val="000000" w:themeColor="text1"/>
          <w:sz w:val="32"/>
          <w:szCs w:val="24"/>
          <w:highlight w:val="none"/>
          <w:lang w:bidi="ar"/>
          <w14:textFill>
            <w14:solidFill>
              <w14:schemeClr w14:val="tx1"/>
            </w14:solidFill>
          </w14:textFill>
        </w:rPr>
      </w:pPr>
    </w:p>
    <w:p w14:paraId="2F2F635F">
      <w:pPr>
        <w:spacing w:before="120" w:after="120" w:line="360" w:lineRule="auto"/>
        <w:jc w:val="center"/>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6</w:t>
      </w:r>
      <w:r>
        <w:rPr>
          <w:rFonts w:hint="eastAsia" w:ascii="仿宋" w:hAnsi="仿宋" w:eastAsia="仿宋" w:cs="仿宋"/>
          <w:b/>
          <w:color w:val="000000" w:themeColor="text1"/>
          <w:sz w:val="32"/>
          <w:szCs w:val="24"/>
          <w:highlight w:val="none"/>
          <w:lang w:bidi="ar"/>
          <w14:textFill>
            <w14:solidFill>
              <w14:schemeClr w14:val="tx1"/>
            </w14:solidFill>
          </w14:textFill>
        </w:rPr>
        <w:t>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05</w:t>
      </w:r>
      <w:r>
        <w:rPr>
          <w:rFonts w:hint="eastAsia" w:ascii="仿宋" w:hAnsi="仿宋" w:eastAsia="仿宋" w:cs="仿宋"/>
          <w:b/>
          <w:color w:val="000000" w:themeColor="text1"/>
          <w:sz w:val="32"/>
          <w:szCs w:val="24"/>
          <w:highlight w:val="none"/>
          <w:lang w:bidi="ar"/>
          <w14:textFill>
            <w14:solidFill>
              <w14:schemeClr w14:val="tx1"/>
            </w14:solidFill>
          </w14:textFill>
        </w:rPr>
        <w:t>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27</w:t>
      </w:r>
      <w:r>
        <w:rPr>
          <w:rFonts w:hint="eastAsia" w:ascii="仿宋" w:hAnsi="仿宋" w:eastAsia="仿宋" w:cs="仿宋"/>
          <w:b/>
          <w:color w:val="000000" w:themeColor="text1"/>
          <w:sz w:val="32"/>
          <w:szCs w:val="24"/>
          <w:highlight w:val="none"/>
          <w:lang w:bidi="ar"/>
          <w14:textFill>
            <w14:solidFill>
              <w14:schemeClr w14:val="tx1"/>
            </w14:solidFill>
          </w14:textFill>
        </w:rPr>
        <w:t>日</w:t>
      </w:r>
    </w:p>
    <w:p w14:paraId="0A87E479">
      <w:pPr>
        <w:spacing w:before="120" w:after="120" w:line="360" w:lineRule="auto"/>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p>
    <w:p w14:paraId="5CB1CF0F">
      <w:pPr>
        <w:keepNext/>
        <w:keepLines/>
        <w:pageBreakBefore/>
        <w:jc w:val="center"/>
        <w:rPr>
          <w:rFonts w:hint="eastAsia" w:ascii="仿宋" w:hAnsi="仿宋" w:eastAsia="仿宋" w:cs="仿宋"/>
          <w:b/>
          <w:color w:val="000000"/>
          <w:sz w:val="44"/>
          <w:szCs w:val="44"/>
        </w:rPr>
      </w:pPr>
      <w:r>
        <w:rPr>
          <w:rFonts w:hint="eastAsia" w:ascii="仿宋" w:hAnsi="仿宋" w:eastAsia="仿宋" w:cs="仿宋"/>
          <w:b/>
          <w:color w:val="000000"/>
          <w:sz w:val="44"/>
          <w:szCs w:val="44"/>
        </w:rPr>
        <w:t>目 录</w:t>
      </w:r>
    </w:p>
    <w:p w14:paraId="5FDE04C1">
      <w:pPr>
        <w:pStyle w:val="30"/>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_Toc17201 </w:instrText>
      </w:r>
      <w:r>
        <w:rPr>
          <w:rFonts w:hint="eastAsia" w:ascii="仿宋" w:hAnsi="仿宋" w:eastAsia="仿宋" w:cs="仿宋"/>
          <w:sz w:val="32"/>
          <w:szCs w:val="32"/>
        </w:rPr>
        <w:fldChar w:fldCharType="separate"/>
      </w:r>
      <w:r>
        <w:rPr>
          <w:rFonts w:hint="eastAsia" w:ascii="仿宋" w:hAnsi="仿宋" w:eastAsia="仿宋" w:cs="仿宋"/>
          <w:sz w:val="32"/>
          <w:szCs w:val="32"/>
        </w:rPr>
        <w:t>第一章  投标邀请</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_Toc17201 \h </w:instrText>
      </w:r>
      <w:r>
        <w:rPr>
          <w:rFonts w:hint="eastAsia" w:ascii="仿宋" w:hAnsi="仿宋" w:eastAsia="仿宋" w:cs="仿宋"/>
          <w:sz w:val="32"/>
          <w:szCs w:val="32"/>
        </w:rPr>
        <w:fldChar w:fldCharType="separate"/>
      </w:r>
      <w:r>
        <w:rPr>
          <w:rFonts w:hint="eastAsia" w:ascii="仿宋" w:hAnsi="仿宋" w:eastAsia="仿宋" w:cs="仿宋"/>
          <w:sz w:val="32"/>
          <w:szCs w:val="32"/>
        </w:rPr>
        <w:t>3</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p>
    <w:p w14:paraId="7335127F">
      <w:pPr>
        <w:pStyle w:val="30"/>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_Toc31597 </w:instrText>
      </w:r>
      <w:r>
        <w:rPr>
          <w:rFonts w:hint="eastAsia" w:ascii="仿宋" w:hAnsi="仿宋" w:eastAsia="仿宋" w:cs="仿宋"/>
          <w:sz w:val="32"/>
          <w:szCs w:val="32"/>
        </w:rPr>
        <w:fldChar w:fldCharType="separate"/>
      </w:r>
      <w:r>
        <w:rPr>
          <w:rFonts w:hint="eastAsia" w:ascii="仿宋" w:hAnsi="仿宋" w:eastAsia="仿宋" w:cs="仿宋"/>
          <w:sz w:val="32"/>
          <w:szCs w:val="32"/>
        </w:rPr>
        <w:t>第二章  投标人须知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_Toc31597 \h </w:instrText>
      </w:r>
      <w:r>
        <w:rPr>
          <w:rFonts w:hint="eastAsia" w:ascii="仿宋" w:hAnsi="仿宋" w:eastAsia="仿宋" w:cs="仿宋"/>
          <w:sz w:val="32"/>
          <w:szCs w:val="32"/>
        </w:rPr>
        <w:fldChar w:fldCharType="separate"/>
      </w:r>
      <w:r>
        <w:rPr>
          <w:rFonts w:hint="eastAsia" w:ascii="仿宋" w:hAnsi="仿宋" w:eastAsia="仿宋" w:cs="仿宋"/>
          <w:sz w:val="32"/>
          <w:szCs w:val="32"/>
        </w:rPr>
        <w:t>6</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p>
    <w:p w14:paraId="4C9C2F6E">
      <w:pPr>
        <w:pStyle w:val="30"/>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_Toc21232 </w:instrText>
      </w:r>
      <w:r>
        <w:rPr>
          <w:rFonts w:hint="eastAsia" w:ascii="仿宋" w:hAnsi="仿宋" w:eastAsia="仿宋" w:cs="仿宋"/>
          <w:sz w:val="32"/>
          <w:szCs w:val="32"/>
        </w:rPr>
        <w:fldChar w:fldCharType="separate"/>
      </w:r>
      <w:r>
        <w:rPr>
          <w:rFonts w:hint="eastAsia" w:ascii="仿宋" w:hAnsi="仿宋" w:eastAsia="仿宋" w:cs="仿宋"/>
          <w:sz w:val="32"/>
          <w:szCs w:val="32"/>
        </w:rPr>
        <w:t>第三章  资格审查及评标方法</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_Toc21232 \h </w:instrText>
      </w:r>
      <w:r>
        <w:rPr>
          <w:rFonts w:hint="eastAsia" w:ascii="仿宋" w:hAnsi="仿宋" w:eastAsia="仿宋" w:cs="仿宋"/>
          <w:sz w:val="32"/>
          <w:szCs w:val="32"/>
        </w:rPr>
        <w:fldChar w:fldCharType="separate"/>
      </w:r>
      <w:r>
        <w:rPr>
          <w:rFonts w:hint="eastAsia" w:ascii="仿宋" w:hAnsi="仿宋" w:eastAsia="仿宋" w:cs="仿宋"/>
          <w:sz w:val="32"/>
          <w:szCs w:val="32"/>
        </w:rPr>
        <w:t>21</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p>
    <w:p w14:paraId="5622EE89">
      <w:pPr>
        <w:pStyle w:val="30"/>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_Toc8500 </w:instrText>
      </w:r>
      <w:r>
        <w:rPr>
          <w:rFonts w:hint="eastAsia" w:ascii="仿宋" w:hAnsi="仿宋" w:eastAsia="仿宋" w:cs="仿宋"/>
          <w:sz w:val="32"/>
          <w:szCs w:val="32"/>
        </w:rPr>
        <w:fldChar w:fldCharType="separate"/>
      </w:r>
      <w:r>
        <w:rPr>
          <w:rFonts w:hint="eastAsia" w:ascii="仿宋" w:hAnsi="仿宋" w:eastAsia="仿宋" w:cs="仿宋"/>
          <w:sz w:val="32"/>
          <w:szCs w:val="32"/>
        </w:rPr>
        <w:t>第四章  采购需求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_Toc8500 \h </w:instrText>
      </w:r>
      <w:r>
        <w:rPr>
          <w:rFonts w:hint="eastAsia" w:ascii="仿宋" w:hAnsi="仿宋" w:eastAsia="仿宋" w:cs="仿宋"/>
          <w:sz w:val="32"/>
          <w:szCs w:val="32"/>
        </w:rPr>
        <w:fldChar w:fldCharType="separate"/>
      </w:r>
      <w:r>
        <w:rPr>
          <w:rFonts w:hint="eastAsia" w:ascii="仿宋" w:hAnsi="仿宋" w:eastAsia="仿宋" w:cs="仿宋"/>
          <w:sz w:val="32"/>
          <w:szCs w:val="32"/>
        </w:rPr>
        <w:t>24</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p>
    <w:p w14:paraId="0500A375">
      <w:pPr>
        <w:pStyle w:val="30"/>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_Toc30642 </w:instrText>
      </w:r>
      <w:r>
        <w:rPr>
          <w:rFonts w:hint="eastAsia" w:ascii="仿宋" w:hAnsi="仿宋" w:eastAsia="仿宋" w:cs="仿宋"/>
          <w:sz w:val="32"/>
          <w:szCs w:val="32"/>
        </w:rPr>
        <w:fldChar w:fldCharType="separate"/>
      </w:r>
      <w:r>
        <w:rPr>
          <w:rFonts w:hint="eastAsia" w:ascii="仿宋" w:hAnsi="仿宋" w:eastAsia="仿宋" w:cs="仿宋"/>
          <w:sz w:val="32"/>
          <w:szCs w:val="32"/>
        </w:rPr>
        <w:t>第五章  合同文本</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_Toc30642 \h </w:instrText>
      </w:r>
      <w:r>
        <w:rPr>
          <w:rFonts w:hint="eastAsia" w:ascii="仿宋" w:hAnsi="仿宋" w:eastAsia="仿宋" w:cs="仿宋"/>
          <w:sz w:val="32"/>
          <w:szCs w:val="32"/>
        </w:rPr>
        <w:fldChar w:fldCharType="separate"/>
      </w:r>
      <w:r>
        <w:rPr>
          <w:rFonts w:hint="eastAsia" w:ascii="仿宋" w:hAnsi="仿宋" w:eastAsia="仿宋" w:cs="仿宋"/>
          <w:sz w:val="32"/>
          <w:szCs w:val="32"/>
        </w:rPr>
        <w:t>40</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p>
    <w:p w14:paraId="342AEA83">
      <w:pPr>
        <w:pStyle w:val="30"/>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_Toc2706 </w:instrText>
      </w:r>
      <w:r>
        <w:rPr>
          <w:rFonts w:hint="eastAsia" w:ascii="仿宋" w:hAnsi="仿宋" w:eastAsia="仿宋" w:cs="仿宋"/>
          <w:sz w:val="32"/>
          <w:szCs w:val="32"/>
        </w:rPr>
        <w:fldChar w:fldCharType="separate"/>
      </w:r>
      <w:r>
        <w:rPr>
          <w:rFonts w:hint="eastAsia" w:ascii="仿宋" w:hAnsi="仿宋" w:eastAsia="仿宋" w:cs="仿宋"/>
          <w:sz w:val="32"/>
          <w:szCs w:val="32"/>
        </w:rPr>
        <w:t>第六章  投标文件格式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_Toc2706 \h </w:instrText>
      </w:r>
      <w:r>
        <w:rPr>
          <w:rFonts w:hint="eastAsia" w:ascii="仿宋" w:hAnsi="仿宋" w:eastAsia="仿宋" w:cs="仿宋"/>
          <w:sz w:val="32"/>
          <w:szCs w:val="32"/>
        </w:rPr>
        <w:fldChar w:fldCharType="separate"/>
      </w:r>
      <w:r>
        <w:rPr>
          <w:rFonts w:hint="eastAsia" w:ascii="仿宋" w:hAnsi="仿宋" w:eastAsia="仿宋" w:cs="仿宋"/>
          <w:sz w:val="32"/>
          <w:szCs w:val="32"/>
        </w:rPr>
        <w:t>54</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p>
    <w:p w14:paraId="5297B0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end"/>
      </w:r>
    </w:p>
    <w:p w14:paraId="6A6F1FDD">
      <w:pPr>
        <w:spacing w:line="700" w:lineRule="exact"/>
        <w:rPr>
          <w:rFonts w:hint="eastAsia" w:ascii="仿宋" w:hAnsi="仿宋" w:eastAsia="仿宋" w:cs="仿宋"/>
          <w:color w:val="000000"/>
          <w:sz w:val="32"/>
          <w:szCs w:val="32"/>
        </w:rPr>
      </w:pPr>
    </w:p>
    <w:p w14:paraId="38FB88D6">
      <w:pPr>
        <w:spacing w:line="700" w:lineRule="exact"/>
        <w:rPr>
          <w:rFonts w:hint="eastAsia" w:ascii="仿宋" w:hAnsi="仿宋" w:eastAsia="仿宋" w:cs="仿宋"/>
          <w:color w:val="000000"/>
          <w:sz w:val="32"/>
          <w:szCs w:val="32"/>
        </w:rPr>
      </w:pPr>
    </w:p>
    <w:p w14:paraId="20ED3817">
      <w:pPr>
        <w:spacing w:line="700" w:lineRule="exact"/>
        <w:rPr>
          <w:rFonts w:hint="eastAsia" w:ascii="仿宋" w:hAnsi="仿宋" w:eastAsia="仿宋" w:cs="仿宋"/>
          <w:color w:val="000000"/>
          <w:sz w:val="32"/>
          <w:szCs w:val="32"/>
        </w:rPr>
      </w:pPr>
    </w:p>
    <w:p w14:paraId="40CF4074">
      <w:pPr>
        <w:spacing w:line="700" w:lineRule="exact"/>
        <w:rPr>
          <w:rFonts w:hint="eastAsia" w:ascii="仿宋" w:hAnsi="仿宋" w:eastAsia="仿宋" w:cs="仿宋"/>
          <w:color w:val="000000"/>
          <w:sz w:val="32"/>
          <w:szCs w:val="32"/>
        </w:rPr>
      </w:pPr>
    </w:p>
    <w:p w14:paraId="1C409421">
      <w:pPr>
        <w:spacing w:line="700" w:lineRule="exact"/>
        <w:rPr>
          <w:rFonts w:hint="eastAsia" w:ascii="仿宋" w:hAnsi="仿宋" w:eastAsia="仿宋" w:cs="仿宋"/>
          <w:color w:val="000000"/>
          <w:sz w:val="32"/>
          <w:szCs w:val="32"/>
        </w:rPr>
      </w:pPr>
    </w:p>
    <w:p w14:paraId="644342F2">
      <w:pPr>
        <w:spacing w:line="700" w:lineRule="exact"/>
        <w:rPr>
          <w:rFonts w:hint="eastAsia" w:ascii="仿宋" w:hAnsi="仿宋" w:eastAsia="仿宋" w:cs="仿宋"/>
          <w:color w:val="000000"/>
          <w:sz w:val="32"/>
          <w:szCs w:val="32"/>
        </w:rPr>
      </w:pPr>
    </w:p>
    <w:p w14:paraId="57C03F04">
      <w:pPr>
        <w:spacing w:line="700" w:lineRule="exact"/>
        <w:rPr>
          <w:rFonts w:hint="eastAsia" w:ascii="仿宋" w:hAnsi="仿宋" w:eastAsia="仿宋" w:cs="仿宋"/>
          <w:color w:val="000000"/>
          <w:sz w:val="32"/>
          <w:szCs w:val="32"/>
        </w:rPr>
      </w:pPr>
    </w:p>
    <w:p w14:paraId="59954BF9">
      <w:pPr>
        <w:spacing w:line="700" w:lineRule="exact"/>
        <w:rPr>
          <w:rFonts w:hint="eastAsia" w:ascii="仿宋" w:hAnsi="仿宋" w:eastAsia="仿宋" w:cs="仿宋"/>
          <w:color w:val="000000"/>
          <w:sz w:val="32"/>
          <w:szCs w:val="32"/>
        </w:rPr>
      </w:pPr>
    </w:p>
    <w:p w14:paraId="4B1B77A3">
      <w:pPr>
        <w:spacing w:line="700" w:lineRule="exact"/>
        <w:rPr>
          <w:rFonts w:hint="eastAsia" w:ascii="仿宋" w:hAnsi="仿宋" w:eastAsia="仿宋" w:cs="仿宋"/>
          <w:color w:val="000000"/>
          <w:sz w:val="32"/>
          <w:szCs w:val="32"/>
        </w:rPr>
      </w:pPr>
    </w:p>
    <w:p w14:paraId="20A194A1">
      <w:pPr>
        <w:spacing w:line="700" w:lineRule="exact"/>
        <w:rPr>
          <w:rFonts w:hint="eastAsia" w:ascii="仿宋" w:hAnsi="仿宋" w:eastAsia="仿宋" w:cs="仿宋"/>
          <w:color w:val="000000"/>
          <w:sz w:val="32"/>
          <w:szCs w:val="32"/>
        </w:rPr>
      </w:pPr>
    </w:p>
    <w:p w14:paraId="72CDCFFC">
      <w:pPr>
        <w:spacing w:line="700" w:lineRule="exact"/>
        <w:rPr>
          <w:rFonts w:hint="eastAsia" w:ascii="仿宋" w:hAnsi="仿宋" w:eastAsia="仿宋" w:cs="仿宋"/>
          <w:color w:val="000000"/>
        </w:rPr>
      </w:pPr>
    </w:p>
    <w:p w14:paraId="7AED1E6C">
      <w:pPr>
        <w:keepNext/>
        <w:keepLines/>
        <w:pageBreakBefore/>
        <w:jc w:val="center"/>
        <w:outlineLvl w:val="0"/>
        <w:rPr>
          <w:rFonts w:hint="eastAsia" w:ascii="仿宋" w:hAnsi="仿宋" w:eastAsia="仿宋" w:cs="仿宋"/>
          <w:b/>
          <w:color w:val="000000"/>
          <w:sz w:val="44"/>
          <w:szCs w:val="44"/>
        </w:rPr>
        <w:sectPr>
          <w:footerReference r:id="rId5" w:type="first"/>
          <w:headerReference r:id="rId3" w:type="default"/>
          <w:footerReference r:id="rId4" w:type="default"/>
          <w:pgSz w:w="11907" w:h="16840"/>
          <w:pgMar w:top="1474" w:right="1304" w:bottom="1474" w:left="1418" w:header="851" w:footer="851" w:gutter="0"/>
          <w:pgNumType w:fmt="decimal"/>
          <w:cols w:space="1701" w:num="1"/>
          <w:docGrid w:linePitch="360" w:charSpace="0"/>
        </w:sectPr>
      </w:pPr>
      <w:bookmarkStart w:id="3" w:name="_Toc81575152"/>
      <w:bookmarkStart w:id="4" w:name="_Toc81575189"/>
    </w:p>
    <w:p w14:paraId="0446D68F">
      <w:pPr>
        <w:pStyle w:val="76"/>
        <w:spacing w:before="200"/>
        <w:jc w:val="center"/>
        <w:rPr>
          <w:rFonts w:hint="eastAsia" w:ascii="仿宋" w:hAnsi="仿宋" w:eastAsia="仿宋" w:cs="仿宋"/>
          <w:color w:val="000000"/>
          <w:sz w:val="44"/>
        </w:rPr>
      </w:pPr>
      <w:bookmarkStart w:id="5" w:name="_Toc25722"/>
      <w:bookmarkStart w:id="6" w:name="_Toc17201"/>
      <w:bookmarkStart w:id="7" w:name="_Toc30943"/>
      <w:r>
        <w:rPr>
          <w:rFonts w:hint="eastAsia" w:ascii="仿宋" w:hAnsi="仿宋" w:eastAsia="仿宋" w:cs="仿宋"/>
          <w:color w:val="000000"/>
          <w:sz w:val="44"/>
        </w:rPr>
        <w:t>第一章  投标邀请</w:t>
      </w:r>
      <w:bookmarkEnd w:id="3"/>
      <w:bookmarkEnd w:id="4"/>
      <w:bookmarkEnd w:id="5"/>
      <w:bookmarkEnd w:id="6"/>
      <w:bookmarkEnd w:id="7"/>
    </w:p>
    <w:p w14:paraId="438EE649">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受</w:t>
      </w:r>
      <w:r>
        <w:rPr>
          <w:rFonts w:hint="eastAsia" w:ascii="仿宋" w:hAnsi="仿宋" w:eastAsia="仿宋" w:cs="仿宋"/>
          <w:color w:val="000000"/>
          <w:sz w:val="24"/>
          <w:szCs w:val="24"/>
          <w:u w:val="single"/>
          <w:lang w:val="en-US" w:eastAsia="zh-CN"/>
        </w:rPr>
        <w:t>泗洪县机关事务管理中心</w:t>
      </w:r>
      <w:r>
        <w:rPr>
          <w:rFonts w:hint="eastAsia" w:ascii="仿宋" w:hAnsi="仿宋" w:eastAsia="仿宋" w:cs="仿宋"/>
          <w:color w:val="000000"/>
          <w:sz w:val="24"/>
          <w:szCs w:val="24"/>
        </w:rPr>
        <w:t>的委托，</w:t>
      </w:r>
      <w:r>
        <w:rPr>
          <w:rFonts w:hint="eastAsia" w:ascii="仿宋" w:hAnsi="仿宋" w:eastAsia="仿宋" w:cs="仿宋"/>
          <w:color w:val="000000"/>
          <w:sz w:val="24"/>
          <w:szCs w:val="24"/>
          <w:u w:val="single"/>
          <w:lang w:eastAsia="zh-CN"/>
        </w:rPr>
        <w:t>泗洪县</w:t>
      </w:r>
      <w:r>
        <w:rPr>
          <w:rFonts w:hint="eastAsia" w:ascii="仿宋" w:hAnsi="仿宋" w:eastAsia="仿宋" w:cs="仿宋"/>
          <w:color w:val="000000"/>
          <w:sz w:val="24"/>
          <w:szCs w:val="24"/>
          <w:u w:val="single"/>
        </w:rPr>
        <w:t>公共资源交易中心</w:t>
      </w:r>
      <w:r>
        <w:rPr>
          <w:rFonts w:hint="eastAsia" w:ascii="仿宋" w:hAnsi="仿宋" w:eastAsia="仿宋" w:cs="仿宋"/>
          <w:color w:val="000000"/>
          <w:sz w:val="24"/>
          <w:szCs w:val="24"/>
        </w:rPr>
        <w:t>就</w:t>
      </w:r>
      <w:r>
        <w:rPr>
          <w:rFonts w:hint="eastAsia" w:ascii="仿宋" w:hAnsi="仿宋" w:eastAsia="仿宋" w:cs="仿宋"/>
          <w:color w:val="000000"/>
          <w:sz w:val="24"/>
          <w:szCs w:val="24"/>
          <w:u w:val="single"/>
          <w:lang w:eastAsia="zh-CN"/>
        </w:rPr>
        <w:t>泗洪县政务服务中心保洁服务采购项目(</w:t>
      </w:r>
      <w:r>
        <w:rPr>
          <w:rFonts w:hint="eastAsia" w:ascii="仿宋" w:hAnsi="仿宋" w:eastAsia="仿宋" w:cs="仿宋"/>
          <w:color w:val="000000"/>
          <w:sz w:val="24"/>
          <w:szCs w:val="24"/>
          <w:u w:val="single"/>
          <w:lang w:val="en-US" w:eastAsia="zh-CN"/>
        </w:rPr>
        <w:t>JSZC-321324-JZCG-G2026-0012</w:t>
      </w:r>
      <w:r>
        <w:rPr>
          <w:rFonts w:hint="eastAsia" w:ascii="仿宋" w:hAnsi="仿宋" w:eastAsia="仿宋" w:cs="仿宋"/>
          <w:color w:val="000000"/>
          <w:sz w:val="24"/>
          <w:szCs w:val="24"/>
          <w:u w:val="single"/>
          <w:lang w:eastAsia="zh-CN"/>
        </w:rPr>
        <w:t>)</w:t>
      </w:r>
      <w:r>
        <w:rPr>
          <w:rFonts w:hint="eastAsia" w:ascii="仿宋" w:hAnsi="仿宋" w:eastAsia="仿宋" w:cs="仿宋"/>
          <w:color w:val="000000"/>
          <w:sz w:val="24"/>
          <w:szCs w:val="24"/>
        </w:rPr>
        <w:t>进行公开招标采购，欢迎符合条件的投标人投标。</w:t>
      </w:r>
    </w:p>
    <w:p w14:paraId="7A41C234">
      <w:pPr>
        <w:pBdr>
          <w:top w:val="single" w:color="000000" w:sz="4" w:space="1"/>
          <w:left w:val="single" w:color="000000" w:sz="4" w:space="4"/>
          <w:bottom w:val="single" w:color="000000" w:sz="4" w:space="1"/>
          <w:right w:val="single" w:color="000000" w:sz="4" w:space="4"/>
        </w:pBd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项目概况</w:t>
      </w:r>
    </w:p>
    <w:p w14:paraId="07781023">
      <w:pPr>
        <w:pBdr>
          <w:top w:val="single" w:color="000000" w:sz="4" w:space="1"/>
          <w:left w:val="single" w:color="000000" w:sz="4" w:space="4"/>
          <w:bottom w:val="single" w:color="000000" w:sz="4" w:space="1"/>
          <w:right w:val="single" w:color="000000" w:sz="4" w:space="4"/>
        </w:pBd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u w:val="single"/>
          <w:lang w:eastAsia="zh-CN"/>
        </w:rPr>
        <w:t>泗洪县政务服务中心保洁服务采购项目</w:t>
      </w:r>
      <w:r>
        <w:rPr>
          <w:rFonts w:hint="eastAsia" w:ascii="仿宋" w:hAnsi="仿宋" w:eastAsia="仿宋" w:cs="仿宋"/>
          <w:color w:val="000000"/>
          <w:sz w:val="24"/>
          <w:szCs w:val="24"/>
        </w:rPr>
        <w:t>的潜在投标人可在“江苏政府采购网”、</w:t>
      </w:r>
      <w:r>
        <w:rPr>
          <w:rFonts w:hint="eastAsia" w:ascii="仿宋" w:hAnsi="仿宋" w:eastAsia="仿宋" w:cs="仿宋"/>
          <w:color w:val="000000"/>
          <w:sz w:val="24"/>
          <w:szCs w:val="24"/>
          <w:u w:val="single"/>
        </w:rPr>
        <w:t>“宿迁市政府采购网”自行免费</w:t>
      </w:r>
      <w:r>
        <w:rPr>
          <w:rFonts w:hint="eastAsia" w:ascii="仿宋" w:hAnsi="仿宋" w:eastAsia="仿宋" w:cs="仿宋"/>
          <w:color w:val="000000"/>
          <w:sz w:val="24"/>
          <w:szCs w:val="24"/>
        </w:rPr>
        <w:t>获取招标文件，并于</w:t>
      </w:r>
      <w:r>
        <w:rPr>
          <w:rFonts w:hint="eastAsia" w:ascii="仿宋" w:hAnsi="仿宋" w:eastAsia="仿宋" w:cs="仿宋"/>
          <w:color w:val="000000"/>
          <w:sz w:val="24"/>
          <w:szCs w:val="24"/>
          <w:u w:val="single"/>
        </w:rPr>
        <w:t>202</w:t>
      </w:r>
      <w:r>
        <w:rPr>
          <w:rFonts w:hint="eastAsia" w:ascii="仿宋" w:hAnsi="仿宋" w:eastAsia="仿宋" w:cs="仿宋"/>
          <w:color w:val="000000"/>
          <w:sz w:val="24"/>
          <w:szCs w:val="24"/>
          <w:u w:val="single"/>
          <w:lang w:val="en-US" w:eastAsia="zh-CN"/>
        </w:rPr>
        <w:t>6</w:t>
      </w:r>
      <w:r>
        <w:rPr>
          <w:rFonts w:hint="eastAsia" w:ascii="仿宋" w:hAnsi="仿宋" w:eastAsia="仿宋" w:cs="仿宋"/>
          <w:bCs/>
          <w:color w:val="000000"/>
          <w:sz w:val="24"/>
          <w:szCs w:val="24"/>
          <w:u w:val="single"/>
        </w:rPr>
        <w:t>年</w:t>
      </w:r>
      <w:r>
        <w:rPr>
          <w:rFonts w:hint="eastAsia" w:ascii="仿宋" w:hAnsi="仿宋" w:eastAsia="仿宋" w:cs="仿宋"/>
          <w:bCs/>
          <w:color w:val="000000"/>
          <w:sz w:val="24"/>
          <w:szCs w:val="24"/>
          <w:u w:val="single"/>
          <w:lang w:val="en-US" w:eastAsia="zh-CN"/>
        </w:rPr>
        <w:t>06</w:t>
      </w:r>
      <w:r>
        <w:rPr>
          <w:rFonts w:hint="eastAsia" w:ascii="仿宋" w:hAnsi="仿宋" w:eastAsia="仿宋" w:cs="仿宋"/>
          <w:color w:val="000000"/>
          <w:sz w:val="24"/>
          <w:szCs w:val="24"/>
          <w:u w:val="single"/>
        </w:rPr>
        <w:t>月</w:t>
      </w:r>
      <w:r>
        <w:rPr>
          <w:rFonts w:hint="eastAsia" w:ascii="仿宋" w:hAnsi="仿宋" w:eastAsia="仿宋" w:cs="仿宋"/>
          <w:color w:val="000000"/>
          <w:sz w:val="24"/>
          <w:szCs w:val="24"/>
          <w:u w:val="single"/>
          <w:lang w:val="en-US" w:eastAsia="zh-CN"/>
        </w:rPr>
        <w:t>22</w:t>
      </w:r>
      <w:r>
        <w:rPr>
          <w:rFonts w:hint="eastAsia" w:ascii="仿宋" w:hAnsi="仿宋" w:eastAsia="仿宋" w:cs="仿宋"/>
          <w:color w:val="000000"/>
          <w:sz w:val="24"/>
          <w:szCs w:val="24"/>
          <w:u w:val="single"/>
        </w:rPr>
        <w:t>日</w:t>
      </w:r>
      <w:r>
        <w:rPr>
          <w:rFonts w:hint="eastAsia" w:ascii="仿宋" w:hAnsi="仿宋" w:eastAsia="仿宋" w:cs="仿宋"/>
          <w:bCs/>
          <w:color w:val="000000"/>
          <w:sz w:val="24"/>
          <w:szCs w:val="24"/>
          <w:u w:val="single"/>
        </w:rPr>
        <w:t>09点</w:t>
      </w:r>
      <w:r>
        <w:rPr>
          <w:rFonts w:hint="eastAsia" w:ascii="仿宋" w:hAnsi="仿宋" w:eastAsia="仿宋" w:cs="仿宋"/>
          <w:bCs/>
          <w:color w:val="000000"/>
          <w:sz w:val="24"/>
          <w:szCs w:val="24"/>
          <w:u w:val="single"/>
          <w:lang w:val="en-US" w:eastAsia="zh-CN"/>
        </w:rPr>
        <w:t>3</w:t>
      </w:r>
      <w:r>
        <w:rPr>
          <w:rFonts w:hint="eastAsia" w:ascii="仿宋" w:hAnsi="仿宋" w:eastAsia="仿宋" w:cs="仿宋"/>
          <w:bCs/>
          <w:color w:val="000000"/>
          <w:sz w:val="24"/>
          <w:szCs w:val="24"/>
          <w:u w:val="single"/>
        </w:rPr>
        <w:t>0分（</w:t>
      </w:r>
      <w:r>
        <w:rPr>
          <w:rFonts w:hint="eastAsia" w:ascii="仿宋" w:hAnsi="仿宋" w:eastAsia="仿宋" w:cs="仿宋"/>
          <w:bCs/>
          <w:color w:val="000000"/>
          <w:sz w:val="24"/>
          <w:szCs w:val="24"/>
        </w:rPr>
        <w:t>北京时间）前递交投标文件</w:t>
      </w:r>
      <w:r>
        <w:rPr>
          <w:rFonts w:hint="eastAsia" w:ascii="仿宋" w:hAnsi="仿宋" w:eastAsia="仿宋" w:cs="仿宋"/>
          <w:color w:val="000000"/>
          <w:sz w:val="24"/>
          <w:szCs w:val="24"/>
        </w:rPr>
        <w:t>。</w:t>
      </w:r>
    </w:p>
    <w:p w14:paraId="5DBF94F7">
      <w:pPr>
        <w:pStyle w:val="77"/>
        <w:spacing w:before="0" w:after="0" w:line="480" w:lineRule="exact"/>
        <w:ind w:firstLine="643"/>
        <w:rPr>
          <w:rFonts w:hint="eastAsia" w:ascii="仿宋" w:hAnsi="仿宋" w:eastAsia="仿宋" w:cs="仿宋"/>
          <w:bCs/>
          <w:color w:val="000000"/>
          <w:szCs w:val="22"/>
        </w:rPr>
      </w:pPr>
      <w:bookmarkStart w:id="8" w:name="_Toc2584"/>
      <w:bookmarkStart w:id="9" w:name="_Toc38985263"/>
      <w:bookmarkStart w:id="10" w:name="_Toc28359002"/>
      <w:bookmarkStart w:id="11" w:name="_Toc28359079"/>
      <w:bookmarkStart w:id="12" w:name="_Toc35393621"/>
      <w:bookmarkStart w:id="13" w:name="_Toc35393790"/>
      <w:bookmarkStart w:id="14" w:name="_Hlk24379207"/>
      <w:r>
        <w:rPr>
          <w:rFonts w:hint="eastAsia" w:ascii="仿宋" w:hAnsi="仿宋" w:eastAsia="仿宋" w:cs="仿宋"/>
          <w:bCs/>
          <w:color w:val="000000"/>
          <w:szCs w:val="22"/>
        </w:rPr>
        <w:t>一、项目基本情况</w:t>
      </w:r>
      <w:bookmarkEnd w:id="8"/>
      <w:bookmarkEnd w:id="9"/>
      <w:bookmarkEnd w:id="10"/>
      <w:bookmarkEnd w:id="11"/>
      <w:bookmarkEnd w:id="12"/>
      <w:bookmarkEnd w:id="13"/>
    </w:p>
    <w:p w14:paraId="2026B1CB">
      <w:pPr>
        <w:spacing w:line="480" w:lineRule="exact"/>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1.项目编号：</w:t>
      </w:r>
      <w:r>
        <w:rPr>
          <w:rFonts w:hint="eastAsia" w:ascii="仿宋" w:hAnsi="仿宋" w:eastAsia="仿宋" w:cs="仿宋"/>
          <w:color w:val="000000"/>
          <w:sz w:val="24"/>
          <w:szCs w:val="24"/>
          <w:lang w:val="en-US" w:eastAsia="zh-CN"/>
        </w:rPr>
        <w:t>JSZC-321324-JZCG-G2026-0012</w:t>
      </w:r>
      <w:r>
        <w:rPr>
          <w:rFonts w:hint="eastAsia" w:ascii="仿宋" w:hAnsi="仿宋" w:eastAsia="仿宋" w:cs="仿宋"/>
          <w:color w:val="000000"/>
          <w:sz w:val="24"/>
          <w:szCs w:val="24"/>
          <w:lang w:eastAsia="zh-CN"/>
        </w:rPr>
        <w:t>。</w:t>
      </w:r>
    </w:p>
    <w:p w14:paraId="4BAF4C1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szCs w:val="24"/>
        </w:rPr>
        <w:t>2.项目名称：</w:t>
      </w:r>
      <w:bookmarkEnd w:id="14"/>
      <w:r>
        <w:rPr>
          <w:rFonts w:hint="eastAsia" w:ascii="仿宋" w:hAnsi="仿宋" w:eastAsia="仿宋" w:cs="仿宋"/>
          <w:color w:val="000000"/>
          <w:sz w:val="24"/>
          <w:lang w:eastAsia="zh-CN"/>
        </w:rPr>
        <w:t>泗洪县政务服务中心保洁服务采购项目。</w:t>
      </w:r>
    </w:p>
    <w:p w14:paraId="579BB01A">
      <w:pPr>
        <w:spacing w:line="480" w:lineRule="exact"/>
        <w:ind w:firstLine="480"/>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3.预算金额：</w:t>
      </w:r>
      <w:r>
        <w:rPr>
          <w:rFonts w:hint="eastAsia" w:ascii="仿宋" w:hAnsi="仿宋" w:eastAsia="仿宋" w:cs="仿宋"/>
          <w:color w:val="000000"/>
          <w:sz w:val="24"/>
          <w:szCs w:val="24"/>
          <w:lang w:val="en-US" w:eastAsia="zh-CN"/>
        </w:rPr>
        <w:t>三年总预算187.2万元（62.4</w:t>
      </w:r>
      <w:r>
        <w:rPr>
          <w:rFonts w:hint="eastAsia" w:ascii="仿宋" w:hAnsi="仿宋" w:eastAsia="仿宋" w:cs="仿宋"/>
          <w:color w:val="000000"/>
          <w:sz w:val="24"/>
          <w:szCs w:val="24"/>
        </w:rPr>
        <w:t>万元</w:t>
      </w:r>
      <w:r>
        <w:rPr>
          <w:rFonts w:hint="eastAsia" w:ascii="仿宋" w:hAnsi="仿宋" w:eastAsia="仿宋" w:cs="仿宋"/>
          <w:color w:val="000000"/>
          <w:sz w:val="24"/>
          <w:szCs w:val="24"/>
          <w:lang w:val="en-US" w:eastAsia="zh-CN"/>
        </w:rPr>
        <w:t>/年）。</w:t>
      </w:r>
    </w:p>
    <w:p w14:paraId="7421F6A2">
      <w:pPr>
        <w:spacing w:line="480" w:lineRule="exact"/>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4.本项目设定最高限价，最高限价为</w:t>
      </w:r>
      <w:r>
        <w:rPr>
          <w:rFonts w:hint="eastAsia" w:ascii="仿宋" w:hAnsi="仿宋" w:eastAsia="仿宋" w:cs="仿宋"/>
          <w:color w:val="000000"/>
          <w:sz w:val="24"/>
        </w:rPr>
        <w:t>：</w:t>
      </w:r>
      <w:r>
        <w:rPr>
          <w:rFonts w:hint="eastAsia" w:ascii="仿宋" w:hAnsi="仿宋" w:eastAsia="仿宋" w:cs="仿宋"/>
          <w:color w:val="000000"/>
          <w:sz w:val="24"/>
          <w:szCs w:val="24"/>
          <w:lang w:val="en-US" w:eastAsia="zh-CN"/>
        </w:rPr>
        <w:t>62.4</w:t>
      </w:r>
      <w:r>
        <w:rPr>
          <w:rFonts w:hint="eastAsia" w:ascii="仿宋" w:hAnsi="仿宋" w:eastAsia="仿宋" w:cs="仿宋"/>
          <w:color w:val="000000"/>
          <w:sz w:val="24"/>
          <w:szCs w:val="24"/>
        </w:rPr>
        <w:t>万元</w:t>
      </w:r>
      <w:r>
        <w:rPr>
          <w:rFonts w:hint="eastAsia" w:ascii="仿宋" w:hAnsi="仿宋" w:eastAsia="仿宋" w:cs="仿宋"/>
          <w:color w:val="000000"/>
          <w:sz w:val="24"/>
          <w:szCs w:val="24"/>
          <w:lang w:val="en-US" w:eastAsia="zh-CN"/>
        </w:rPr>
        <w:t>/年。</w:t>
      </w:r>
    </w:p>
    <w:p w14:paraId="1EF15233">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5.采购需求（简介）：</w:t>
      </w:r>
      <w:r>
        <w:rPr>
          <w:rFonts w:hint="eastAsia" w:ascii="仿宋" w:hAnsi="仿宋" w:eastAsia="仿宋" w:cs="仿宋"/>
          <w:color w:val="000000"/>
          <w:sz w:val="24"/>
          <w:lang w:eastAsia="zh-CN"/>
        </w:rPr>
        <w:t>泗洪县政务服务中心保洁服务采购项目，</w:t>
      </w:r>
      <w:r>
        <w:rPr>
          <w:rFonts w:hint="eastAsia" w:ascii="仿宋" w:hAnsi="仿宋" w:eastAsia="仿宋" w:cs="仿宋"/>
          <w:color w:val="000000"/>
          <w:sz w:val="24"/>
        </w:rPr>
        <w:t>具体详见采购需求。</w:t>
      </w:r>
    </w:p>
    <w:p w14:paraId="2C846546">
      <w:pPr>
        <w:spacing w:line="480" w:lineRule="exact"/>
        <w:ind w:firstLine="480"/>
        <w:rPr>
          <w:rFonts w:hint="eastAsia" w:ascii="仿宋" w:hAnsi="仿宋" w:eastAsia="仿宋" w:cs="仿宋"/>
          <w:b/>
          <w:bCs/>
          <w:color w:val="auto"/>
          <w:sz w:val="24"/>
          <w:szCs w:val="24"/>
        </w:rPr>
      </w:pPr>
      <w:r>
        <w:rPr>
          <w:rFonts w:hint="eastAsia" w:ascii="仿宋" w:hAnsi="仿宋" w:eastAsia="仿宋" w:cs="仿宋"/>
          <w:color w:val="000000"/>
          <w:sz w:val="24"/>
          <w:szCs w:val="24"/>
        </w:rPr>
        <w:t>6.合同履行期限：</w:t>
      </w:r>
      <w:r>
        <w:rPr>
          <w:rFonts w:hint="eastAsia" w:ascii="仿宋" w:hAnsi="仿宋" w:eastAsia="仿宋" w:cs="仿宋"/>
          <w:color w:val="000000"/>
          <w:sz w:val="24"/>
          <w:szCs w:val="24"/>
          <w:lang w:val="en-US" w:eastAsia="zh-CN"/>
        </w:rPr>
        <w:t>三</w:t>
      </w:r>
      <w:r>
        <w:rPr>
          <w:rFonts w:hint="eastAsia" w:ascii="仿宋" w:hAnsi="仿宋" w:eastAsia="仿宋" w:cs="仿宋"/>
          <w:color w:val="000000"/>
          <w:sz w:val="24"/>
          <w:szCs w:val="24"/>
        </w:rPr>
        <w:t>年。</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合同一年一签，</w:t>
      </w:r>
      <w:r>
        <w:rPr>
          <w:rFonts w:hint="eastAsia" w:ascii="仿宋" w:hAnsi="仿宋" w:eastAsia="仿宋" w:cs="仿宋"/>
          <w:b/>
          <w:bCs/>
          <w:color w:val="auto"/>
          <w:sz w:val="24"/>
          <w:lang w:val="en-US" w:eastAsia="zh-CN"/>
        </w:rPr>
        <w:t>第一年合同期满后，如双方无异议，可按照中标金额续签合同，最长服务期限不超过三年。）</w:t>
      </w:r>
    </w:p>
    <w:p w14:paraId="0011DA53">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联合体投标。</w:t>
      </w:r>
    </w:p>
    <w:p w14:paraId="74CA0E28">
      <w:pPr>
        <w:pStyle w:val="77"/>
        <w:spacing w:before="0" w:after="0" w:line="480" w:lineRule="exact"/>
        <w:ind w:firstLine="643"/>
        <w:rPr>
          <w:rFonts w:hint="eastAsia" w:ascii="仿宋" w:hAnsi="仿宋" w:eastAsia="仿宋" w:cs="仿宋"/>
          <w:bCs/>
          <w:color w:val="000000"/>
          <w:szCs w:val="22"/>
        </w:rPr>
      </w:pPr>
      <w:bookmarkStart w:id="15" w:name="_Toc28359080"/>
      <w:bookmarkStart w:id="16" w:name="_Toc27291"/>
      <w:bookmarkStart w:id="17" w:name="_Toc28359003"/>
      <w:bookmarkStart w:id="18" w:name="_Toc35393622"/>
      <w:bookmarkStart w:id="19" w:name="_Toc35393791"/>
      <w:bookmarkStart w:id="20" w:name="_Toc38985264"/>
      <w:r>
        <w:rPr>
          <w:rFonts w:hint="eastAsia" w:ascii="仿宋" w:hAnsi="仿宋" w:eastAsia="仿宋" w:cs="仿宋"/>
          <w:bCs/>
          <w:color w:val="000000"/>
          <w:szCs w:val="22"/>
        </w:rPr>
        <w:t>二、申请人的资格要求</w:t>
      </w:r>
      <w:bookmarkEnd w:id="15"/>
      <w:bookmarkEnd w:id="16"/>
      <w:bookmarkEnd w:id="17"/>
      <w:bookmarkEnd w:id="18"/>
      <w:bookmarkEnd w:id="19"/>
      <w:bookmarkEnd w:id="20"/>
    </w:p>
    <w:p w14:paraId="14E70D65">
      <w:pPr>
        <w:spacing w:line="480" w:lineRule="exact"/>
        <w:ind w:firstLine="480"/>
        <w:rPr>
          <w:rFonts w:hint="eastAsia" w:ascii="仿宋" w:hAnsi="仿宋" w:eastAsia="仿宋" w:cs="仿宋"/>
          <w:color w:val="000000"/>
          <w:sz w:val="24"/>
          <w:szCs w:val="24"/>
        </w:rPr>
      </w:pPr>
      <w:bookmarkStart w:id="21" w:name="_Toc38985265"/>
      <w:bookmarkStart w:id="22" w:name="_Toc28359004"/>
      <w:bookmarkStart w:id="23" w:name="_Toc35393623"/>
      <w:bookmarkStart w:id="24" w:name="_Toc35393792"/>
      <w:bookmarkStart w:id="25" w:name="_Toc28359081"/>
      <w:r>
        <w:rPr>
          <w:rFonts w:hint="eastAsia" w:ascii="仿宋" w:hAnsi="仿宋" w:eastAsia="仿宋" w:cs="仿宋"/>
          <w:color w:val="000000"/>
          <w:sz w:val="24"/>
          <w:szCs w:val="24"/>
        </w:rPr>
        <w:t>（一）通用资格要求</w:t>
      </w:r>
    </w:p>
    <w:p w14:paraId="276242E3">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1.具备《中华人民共和国政府采购法》第二十二条第一款规定的6项条件（按要求提供投标函）。</w:t>
      </w:r>
    </w:p>
    <w:p w14:paraId="575C7271">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信用信息。</w:t>
      </w:r>
      <w:r>
        <w:rPr>
          <w:rFonts w:hint="eastAsia" w:ascii="仿宋" w:hAnsi="仿宋" w:eastAsia="仿宋" w:cs="仿宋"/>
          <w:color w:val="000000"/>
          <w:sz w:val="24"/>
          <w:szCs w:val="24"/>
        </w:rPr>
        <w:t>在“信用中国”网站（www.creditchina.gov.cn）查询，不存在被列入失信被执行人、重大税收违法</w:t>
      </w:r>
      <w:r>
        <w:rPr>
          <w:rFonts w:hint="eastAsia" w:ascii="仿宋" w:hAnsi="仿宋" w:eastAsia="仿宋" w:cs="仿宋"/>
          <w:color w:val="000000"/>
          <w:sz w:val="24"/>
          <w:szCs w:val="24"/>
          <w:lang w:val="en-US" w:eastAsia="zh-CN"/>
        </w:rPr>
        <w:t>失信主体</w:t>
      </w:r>
      <w:r>
        <w:rPr>
          <w:rFonts w:hint="eastAsia" w:ascii="仿宋" w:hAnsi="仿宋" w:eastAsia="仿宋" w:cs="仿宋"/>
          <w:color w:val="000000"/>
          <w:sz w:val="24"/>
          <w:szCs w:val="24"/>
        </w:rPr>
        <w:t>名单、</w:t>
      </w:r>
      <w:r>
        <w:rPr>
          <w:rFonts w:hint="eastAsia" w:ascii="仿宋" w:hAnsi="仿宋" w:eastAsia="仿宋" w:cs="仿宋"/>
          <w:color w:val="000000"/>
          <w:sz w:val="24"/>
          <w:szCs w:val="24"/>
          <w:lang w:val="en-US" w:eastAsia="zh-CN"/>
        </w:rPr>
        <w:t>严重失信主体</w:t>
      </w:r>
      <w:r>
        <w:rPr>
          <w:rFonts w:hint="eastAsia" w:ascii="仿宋" w:hAnsi="仿宋" w:eastAsia="仿宋" w:cs="仿宋"/>
          <w:color w:val="000000"/>
          <w:sz w:val="24"/>
          <w:szCs w:val="24"/>
        </w:rPr>
        <w:t>名单及其他不符合《中华人民共和国政府采购法》第二十二条规定条件的信用记录情形（无需提供证明材料）。</w:t>
      </w:r>
    </w:p>
    <w:p w14:paraId="1D3D2B96">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3.落实政府采购政策需满足的资格要求：本项目专门面向中小企业采购（</w:t>
      </w:r>
      <w:r>
        <w:rPr>
          <w:rFonts w:hint="eastAsia" w:ascii="仿宋" w:hAnsi="仿宋" w:eastAsia="仿宋" w:cs="仿宋"/>
          <w:color w:val="000000"/>
          <w:sz w:val="24"/>
          <w:szCs w:val="24"/>
          <w:lang w:val="en-US" w:eastAsia="zh-CN"/>
        </w:rPr>
        <w:t>供应商</w:t>
      </w:r>
      <w:r>
        <w:rPr>
          <w:rFonts w:hint="eastAsia" w:ascii="仿宋" w:hAnsi="仿宋" w:eastAsia="仿宋" w:cs="仿宋"/>
          <w:color w:val="000000"/>
          <w:sz w:val="24"/>
          <w:szCs w:val="24"/>
        </w:rPr>
        <w:t>提供中小企业声明函或残疾人福利性单位声明函或监狱企业证明文件）。</w:t>
      </w:r>
    </w:p>
    <w:p w14:paraId="5CA457E1">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.投标代理人(授权委托人)必须为本单位正式员工，并在投标文件中提供投标截止日前6个月内由本单位为其缴纳的任意1个月社会养老保险证明。</w:t>
      </w:r>
    </w:p>
    <w:p w14:paraId="795888A1">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（二）本项目的特定资格要求：无。</w:t>
      </w:r>
    </w:p>
    <w:p w14:paraId="4B3BB2C8">
      <w:pPr>
        <w:pStyle w:val="77"/>
        <w:spacing w:before="0" w:after="0" w:line="480" w:lineRule="exact"/>
        <w:ind w:firstLine="643"/>
        <w:rPr>
          <w:rFonts w:hint="eastAsia" w:ascii="仿宋" w:hAnsi="仿宋" w:eastAsia="仿宋" w:cs="仿宋"/>
          <w:bCs/>
          <w:color w:val="000000"/>
          <w:szCs w:val="22"/>
        </w:rPr>
      </w:pPr>
      <w:bookmarkStart w:id="26" w:name="_Toc22204"/>
      <w:r>
        <w:rPr>
          <w:rFonts w:hint="eastAsia" w:ascii="仿宋" w:hAnsi="仿宋" w:eastAsia="仿宋" w:cs="仿宋"/>
          <w:bCs/>
          <w:color w:val="000000"/>
          <w:szCs w:val="22"/>
        </w:rPr>
        <w:t>三、获取招标文件</w:t>
      </w:r>
      <w:bookmarkEnd w:id="21"/>
      <w:bookmarkEnd w:id="22"/>
      <w:bookmarkEnd w:id="23"/>
      <w:bookmarkEnd w:id="24"/>
      <w:bookmarkEnd w:id="25"/>
      <w:bookmarkEnd w:id="26"/>
    </w:p>
    <w:p w14:paraId="52969F4F">
      <w:pPr>
        <w:spacing w:line="480" w:lineRule="exact"/>
        <w:ind w:firstLine="480"/>
        <w:rPr>
          <w:rFonts w:hint="eastAsia" w:ascii="仿宋" w:hAnsi="仿宋" w:eastAsia="仿宋" w:cs="仿宋"/>
          <w:color w:val="000000"/>
          <w:sz w:val="24"/>
          <w:szCs w:val="24"/>
        </w:rPr>
      </w:pPr>
      <w:bookmarkStart w:id="27" w:name="_Toc28359005"/>
      <w:bookmarkStart w:id="28" w:name="_Toc28359082"/>
      <w:bookmarkStart w:id="29" w:name="_Toc35393793"/>
      <w:bookmarkStart w:id="30" w:name="_Toc38985266"/>
      <w:bookmarkStart w:id="31" w:name="_Toc35393624"/>
      <w:r>
        <w:rPr>
          <w:rFonts w:hint="eastAsia" w:ascii="仿宋" w:hAnsi="仿宋" w:eastAsia="仿宋" w:cs="仿宋"/>
          <w:color w:val="000000"/>
          <w:sz w:val="24"/>
          <w:szCs w:val="24"/>
        </w:rPr>
        <w:t>1.时间：招标公告发布之日起5个工作日。</w:t>
      </w:r>
    </w:p>
    <w:p w14:paraId="2A380363">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2.方式：投标人应在招标文件提供的时间内，通过“苏采云”系统（网址： http://jszfcg.jsczt.cn/），使用CA锁登录系统后，找到本项目获取招标文件（后缀名为“.kedt”）。</w:t>
      </w:r>
    </w:p>
    <w:p w14:paraId="51359093">
      <w:pPr>
        <w:spacing w:line="480" w:lineRule="exact"/>
        <w:ind w:firstLine="480"/>
        <w:rPr>
          <w:rFonts w:hint="eastAsia" w:ascii="仿宋" w:hAnsi="仿宋" w:eastAsia="仿宋" w:cs="仿宋"/>
          <w:color w:val="000000"/>
          <w:sz w:val="24"/>
          <w:szCs w:val="24"/>
        </w:rPr>
      </w:pPr>
      <w:bookmarkStart w:id="32" w:name="EB0c44ff4da61f4af989d119fe214be450"/>
      <w:r>
        <w:rPr>
          <w:rFonts w:hint="eastAsia" w:ascii="仿宋" w:hAnsi="仿宋" w:eastAsia="仿宋" w:cs="仿宋"/>
          <w:color w:val="000000"/>
          <w:sz w:val="24"/>
          <w:szCs w:val="24"/>
        </w:rPr>
        <w:t>3.本项目共分一个采购包。投标人参与多个采购包投标的，应按采购包分别获取招标文件。投标人未按要求获取招标文件，后果自负（其投标文件不予接受）。</w:t>
      </w:r>
      <w:bookmarkEnd w:id="32"/>
    </w:p>
    <w:p w14:paraId="081286C0">
      <w:pPr>
        <w:pStyle w:val="77"/>
        <w:spacing w:before="0" w:after="0" w:line="480" w:lineRule="exact"/>
        <w:ind w:firstLine="643"/>
        <w:rPr>
          <w:rFonts w:hint="eastAsia" w:ascii="仿宋" w:hAnsi="仿宋" w:eastAsia="仿宋" w:cs="仿宋"/>
          <w:bCs/>
          <w:color w:val="000000"/>
          <w:szCs w:val="22"/>
        </w:rPr>
      </w:pPr>
      <w:bookmarkStart w:id="33" w:name="_Toc19148"/>
      <w:r>
        <w:rPr>
          <w:rFonts w:hint="eastAsia" w:ascii="仿宋" w:hAnsi="仿宋" w:eastAsia="仿宋" w:cs="仿宋"/>
          <w:bCs/>
          <w:color w:val="000000"/>
          <w:szCs w:val="22"/>
        </w:rPr>
        <w:t>四、提交投标文件</w:t>
      </w:r>
      <w:bookmarkEnd w:id="27"/>
      <w:bookmarkEnd w:id="28"/>
      <w:r>
        <w:rPr>
          <w:rFonts w:hint="eastAsia" w:ascii="仿宋" w:hAnsi="仿宋" w:eastAsia="仿宋" w:cs="仿宋"/>
          <w:bCs/>
          <w:color w:val="000000"/>
          <w:szCs w:val="22"/>
        </w:rPr>
        <w:t>截止时间、开标时间和地点</w:t>
      </w:r>
      <w:bookmarkEnd w:id="29"/>
      <w:bookmarkEnd w:id="30"/>
      <w:bookmarkEnd w:id="31"/>
      <w:bookmarkEnd w:id="33"/>
    </w:p>
    <w:p w14:paraId="71819E7A">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1.提交投标文件截止时间、开标时</w:t>
      </w:r>
      <w:r>
        <w:rPr>
          <w:rFonts w:hint="eastAsia" w:ascii="仿宋" w:hAnsi="仿宋" w:eastAsia="仿宋" w:cs="仿宋"/>
          <w:color w:val="auto"/>
          <w:sz w:val="24"/>
          <w:szCs w:val="24"/>
        </w:rPr>
        <w:t>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06</w:t>
      </w:r>
      <w:r>
        <w:rPr>
          <w:rFonts w:hint="eastAsia" w:ascii="仿宋" w:hAnsi="仿宋" w:eastAsia="仿宋" w:cs="仿宋"/>
          <w:color w:val="auto"/>
          <w:sz w:val="24"/>
          <w:szCs w:val="24"/>
        </w:rPr>
        <w:t>月</w:t>
      </w: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rPr>
        <w:t>日09点</w:t>
      </w:r>
      <w:r>
        <w:rPr>
          <w:rFonts w:hint="eastAsia" w:ascii="仿宋" w:hAnsi="仿宋" w:eastAsia="仿宋" w:cs="仿宋"/>
          <w:color w:val="auto"/>
          <w:sz w:val="24"/>
          <w:szCs w:val="24"/>
          <w:lang w:val="en-US" w:eastAsia="zh-CN"/>
        </w:rPr>
        <w:t>30</w:t>
      </w:r>
      <w:r>
        <w:rPr>
          <w:rFonts w:hint="eastAsia" w:ascii="仿宋" w:hAnsi="仿宋" w:eastAsia="仿宋" w:cs="仿宋"/>
          <w:color w:val="auto"/>
          <w:sz w:val="24"/>
          <w:szCs w:val="24"/>
        </w:rPr>
        <w:t>分（</w:t>
      </w:r>
      <w:r>
        <w:rPr>
          <w:rFonts w:hint="eastAsia" w:ascii="仿宋" w:hAnsi="仿宋" w:eastAsia="仿宋" w:cs="仿宋"/>
          <w:color w:val="000000"/>
          <w:sz w:val="24"/>
          <w:szCs w:val="24"/>
        </w:rPr>
        <w:t>北京时间）</w:t>
      </w:r>
    </w:p>
    <w:p w14:paraId="100E41A0">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2.地点：“苏采云”政府采购交易系统网上开标大厅。</w:t>
      </w:r>
    </w:p>
    <w:p w14:paraId="54B5B263">
      <w:pPr>
        <w:pStyle w:val="77"/>
        <w:spacing w:before="0" w:after="0" w:line="480" w:lineRule="exact"/>
        <w:ind w:firstLine="643"/>
        <w:rPr>
          <w:rFonts w:hint="eastAsia" w:ascii="仿宋" w:hAnsi="仿宋" w:eastAsia="仿宋" w:cs="仿宋"/>
          <w:bCs/>
          <w:color w:val="000000"/>
          <w:szCs w:val="22"/>
        </w:rPr>
      </w:pPr>
      <w:bookmarkStart w:id="34" w:name="_Toc35393794"/>
      <w:bookmarkStart w:id="35" w:name="_Toc28359084"/>
      <w:bookmarkStart w:id="36" w:name="_Toc38985267"/>
      <w:bookmarkStart w:id="37" w:name="_Toc28359007"/>
      <w:bookmarkStart w:id="38" w:name="_Toc35393625"/>
      <w:bookmarkStart w:id="39" w:name="_Toc24820"/>
      <w:r>
        <w:rPr>
          <w:rFonts w:hint="eastAsia" w:ascii="仿宋" w:hAnsi="仿宋" w:eastAsia="仿宋" w:cs="仿宋"/>
          <w:bCs/>
          <w:color w:val="000000"/>
          <w:szCs w:val="22"/>
        </w:rPr>
        <w:t>五、公告期限</w:t>
      </w:r>
      <w:bookmarkEnd w:id="34"/>
      <w:bookmarkEnd w:id="35"/>
      <w:bookmarkEnd w:id="36"/>
      <w:bookmarkEnd w:id="37"/>
      <w:bookmarkEnd w:id="38"/>
      <w:bookmarkEnd w:id="39"/>
    </w:p>
    <w:p w14:paraId="4B56E3E8">
      <w:pPr>
        <w:spacing w:line="480" w:lineRule="exact"/>
        <w:ind w:firstLine="480"/>
        <w:rPr>
          <w:rFonts w:hint="eastAsia" w:ascii="仿宋" w:hAnsi="仿宋" w:eastAsia="仿宋" w:cs="仿宋"/>
          <w:color w:val="000000"/>
          <w:sz w:val="24"/>
          <w:szCs w:val="24"/>
        </w:rPr>
      </w:pPr>
      <w:bookmarkStart w:id="40" w:name="_Toc35393795"/>
      <w:bookmarkStart w:id="41" w:name="_Toc38985268"/>
      <w:bookmarkStart w:id="42" w:name="_Toc35393626"/>
      <w:r>
        <w:rPr>
          <w:rFonts w:hint="eastAsia" w:ascii="仿宋" w:hAnsi="仿宋" w:eastAsia="仿宋" w:cs="仿宋"/>
          <w:color w:val="000000"/>
          <w:sz w:val="24"/>
          <w:szCs w:val="24"/>
        </w:rPr>
        <w:t>招标公告及招标文件公告期限为自本公告发布之日起5个工作日。</w:t>
      </w:r>
    </w:p>
    <w:p w14:paraId="55D82B3A">
      <w:pPr>
        <w:pStyle w:val="77"/>
        <w:spacing w:before="0" w:after="0" w:line="480" w:lineRule="exact"/>
        <w:ind w:firstLine="643"/>
        <w:rPr>
          <w:rFonts w:hint="eastAsia" w:ascii="仿宋" w:hAnsi="仿宋" w:eastAsia="仿宋" w:cs="仿宋"/>
          <w:bCs/>
          <w:color w:val="000000"/>
          <w:szCs w:val="22"/>
        </w:rPr>
      </w:pPr>
      <w:bookmarkStart w:id="43" w:name="_Toc13415"/>
      <w:r>
        <w:rPr>
          <w:rFonts w:hint="eastAsia" w:ascii="仿宋" w:hAnsi="仿宋" w:eastAsia="仿宋" w:cs="仿宋"/>
          <w:bCs/>
          <w:color w:val="000000"/>
          <w:szCs w:val="22"/>
        </w:rPr>
        <w:t>六、其他补充事宜</w:t>
      </w:r>
      <w:bookmarkEnd w:id="40"/>
      <w:bookmarkEnd w:id="41"/>
      <w:bookmarkEnd w:id="42"/>
      <w:bookmarkEnd w:id="43"/>
    </w:p>
    <w:p w14:paraId="1C0731BA">
      <w:pPr>
        <w:spacing w:line="480" w:lineRule="exact"/>
        <w:ind w:firstLine="480"/>
        <w:rPr>
          <w:rFonts w:hint="eastAsia" w:ascii="仿宋" w:hAnsi="仿宋" w:eastAsia="仿宋" w:cs="仿宋"/>
          <w:color w:val="000000"/>
          <w:sz w:val="24"/>
          <w:szCs w:val="24"/>
        </w:rPr>
      </w:pPr>
      <w:bookmarkStart w:id="44" w:name="EB64e1f522fd8c43fcb4d3ba471386b3e7"/>
      <w:bookmarkStart w:id="45" w:name="_Toc35393796"/>
      <w:bookmarkStart w:id="46" w:name="_Toc38985269"/>
      <w:bookmarkStart w:id="47" w:name="_Toc28359008"/>
      <w:bookmarkStart w:id="48" w:name="_Toc35393627"/>
      <w:bookmarkStart w:id="49" w:name="_Toc28359085"/>
      <w:r>
        <w:rPr>
          <w:rFonts w:hint="eastAsia" w:ascii="仿宋" w:hAnsi="仿宋" w:eastAsia="仿宋" w:cs="仿宋"/>
          <w:color w:val="000000"/>
          <w:sz w:val="24"/>
          <w:szCs w:val="24"/>
        </w:rPr>
        <w:t>1.招标公告发布媒体：</w:t>
      </w:r>
      <w:bookmarkStart w:id="50" w:name="OLE_LINK3"/>
      <w:r>
        <w:rPr>
          <w:rFonts w:hint="eastAsia" w:ascii="仿宋" w:hAnsi="仿宋" w:eastAsia="仿宋" w:cs="仿宋"/>
          <w:color w:val="000000"/>
          <w:sz w:val="24"/>
          <w:szCs w:val="24"/>
        </w:rPr>
        <w:t>江苏政府采购网</w:t>
      </w:r>
      <w:bookmarkEnd w:id="50"/>
      <w:r>
        <w:rPr>
          <w:rFonts w:hint="eastAsia" w:ascii="仿宋" w:hAnsi="仿宋" w:eastAsia="仿宋" w:cs="仿宋"/>
          <w:color w:val="000000"/>
          <w:sz w:val="24"/>
          <w:szCs w:val="24"/>
        </w:rPr>
        <w:t>、宿迁市政府采购网等。</w:t>
      </w:r>
    </w:p>
    <w:p w14:paraId="31D3B55E">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2.“CA”数字证书办理：“苏采云”系统目前仅支持“苏采云”系统下的意源CA。省内各地区办理的“苏采云”系统下的意源CA全省通用。宿迁地区CA数字证书办理联系方式：18351098172。</w:t>
      </w:r>
      <w:bookmarkStart w:id="157" w:name="_GoBack"/>
      <w:bookmarkEnd w:id="157"/>
    </w:p>
    <w:p w14:paraId="5751C372">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3.宿迁地区“苏采云”系统技术支持客服电话：0527-</w:t>
      </w:r>
      <w:r>
        <w:rPr>
          <w:rFonts w:hint="eastAsia" w:ascii="仿宋" w:hAnsi="仿宋" w:eastAsia="仿宋" w:cs="仿宋"/>
          <w:color w:val="000000"/>
          <w:sz w:val="24"/>
          <w:szCs w:val="24"/>
          <w:lang w:val="en-US" w:eastAsia="zh-CN"/>
        </w:rPr>
        <w:t>84363067</w:t>
      </w:r>
      <w:r>
        <w:rPr>
          <w:rFonts w:hint="eastAsia" w:ascii="仿宋" w:hAnsi="仿宋" w:eastAsia="仿宋" w:cs="仿宋"/>
          <w:color w:val="000000"/>
          <w:sz w:val="24"/>
          <w:szCs w:val="24"/>
        </w:rPr>
        <w:t>、0519-86722806。</w:t>
      </w:r>
      <w:bookmarkEnd w:id="44"/>
    </w:p>
    <w:p w14:paraId="6B2B396B">
      <w:pPr>
        <w:spacing w:line="480" w:lineRule="exact"/>
        <w:ind w:firstLine="480"/>
        <w:rPr>
          <w:rFonts w:hint="eastAsia" w:ascii="仿宋" w:hAnsi="仿宋" w:eastAsia="仿宋" w:cs="仿宋"/>
          <w:color w:val="000000"/>
          <w:sz w:val="24"/>
          <w:szCs w:val="24"/>
        </w:rPr>
      </w:pPr>
      <w:bookmarkStart w:id="51" w:name="_Toc29049"/>
      <w:r>
        <w:rPr>
          <w:rFonts w:hint="eastAsia" w:ascii="仿宋" w:hAnsi="仿宋" w:eastAsia="仿宋" w:cs="仿宋"/>
          <w:color w:val="000000"/>
          <w:sz w:val="24"/>
          <w:szCs w:val="24"/>
        </w:rPr>
        <w:t>4.</w:t>
      </w:r>
      <w:r>
        <w:rPr>
          <w:rFonts w:hint="eastAsia" w:ascii="仿宋" w:hAnsi="仿宋" w:eastAsia="仿宋" w:cs="仿宋"/>
          <w:color w:val="000000"/>
          <w:sz w:val="24"/>
        </w:rPr>
        <w:t>质疑渠道：投标人登录“苏采云”系统“项目质疑申请”模块向采购人提出，质疑处理联系方式详见“采购人信息”；</w:t>
      </w:r>
      <w:r>
        <w:rPr>
          <w:rFonts w:hint="eastAsia" w:ascii="仿宋" w:hAnsi="仿宋" w:eastAsia="仿宋" w:cs="仿宋"/>
          <w:color w:val="000000"/>
          <w:sz w:val="24"/>
          <w:szCs w:val="24"/>
        </w:rPr>
        <w:t>财政部门投诉受理电话：0527-</w:t>
      </w:r>
      <w:r>
        <w:rPr>
          <w:rFonts w:hint="eastAsia" w:ascii="仿宋" w:hAnsi="仿宋" w:eastAsia="仿宋" w:cs="仿宋"/>
          <w:color w:val="000000"/>
          <w:sz w:val="24"/>
          <w:szCs w:val="24"/>
          <w:lang w:val="en-US" w:eastAsia="zh-CN"/>
        </w:rPr>
        <w:t>88359233</w:t>
      </w:r>
      <w:r>
        <w:rPr>
          <w:rFonts w:hint="eastAsia" w:ascii="仿宋" w:hAnsi="仿宋" w:eastAsia="仿宋" w:cs="仿宋"/>
          <w:color w:val="000000"/>
          <w:sz w:val="24"/>
          <w:szCs w:val="24"/>
        </w:rPr>
        <w:t>。</w:t>
      </w:r>
    </w:p>
    <w:p w14:paraId="5FB123DD">
      <w:pPr>
        <w:pStyle w:val="77"/>
        <w:spacing w:before="0" w:after="0" w:line="480" w:lineRule="exact"/>
        <w:ind w:firstLine="643"/>
        <w:rPr>
          <w:rFonts w:hint="eastAsia" w:ascii="仿宋" w:hAnsi="仿宋" w:eastAsia="仿宋" w:cs="仿宋"/>
          <w:bCs/>
          <w:color w:val="000000"/>
          <w:szCs w:val="22"/>
        </w:rPr>
      </w:pPr>
      <w:r>
        <w:rPr>
          <w:rFonts w:hint="eastAsia" w:ascii="仿宋" w:hAnsi="仿宋" w:eastAsia="仿宋" w:cs="仿宋"/>
          <w:bCs/>
          <w:color w:val="000000"/>
          <w:szCs w:val="22"/>
        </w:rPr>
        <w:t>七、本次招标联系方式</w:t>
      </w:r>
      <w:bookmarkEnd w:id="45"/>
      <w:bookmarkEnd w:id="46"/>
      <w:bookmarkEnd w:id="47"/>
      <w:bookmarkEnd w:id="48"/>
      <w:bookmarkEnd w:id="49"/>
      <w:bookmarkEnd w:id="51"/>
    </w:p>
    <w:p w14:paraId="706EFD1B">
      <w:pPr>
        <w:widowControl/>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1.采购人信息</w:t>
      </w:r>
    </w:p>
    <w:p w14:paraId="72D12174">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lang w:val="en-US" w:eastAsia="zh-CN"/>
        </w:rPr>
        <w:t>泗洪县机关事务管理中心</w:t>
      </w:r>
    </w:p>
    <w:p w14:paraId="070DECDD">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地   址：泗洪县和谐路5号</w:t>
      </w:r>
    </w:p>
    <w:p w14:paraId="3917224B">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联 系 人：黄岩松</w:t>
      </w:r>
    </w:p>
    <w:p w14:paraId="0E852E3B">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联系方式：</w:t>
      </w:r>
      <w:bookmarkStart w:id="52" w:name="EBe3f9939c66d44759be35c24a3fdd2173"/>
      <w:bookmarkStart w:id="53" w:name="_Toc28359086"/>
      <w:bookmarkStart w:id="54" w:name="_Toc28359009"/>
      <w:r>
        <w:rPr>
          <w:rFonts w:hint="eastAsia" w:ascii="仿宋" w:hAnsi="仿宋" w:eastAsia="仿宋" w:cs="仿宋"/>
          <w:color w:val="000000"/>
          <w:sz w:val="24"/>
          <w:szCs w:val="24"/>
          <w:lang w:val="en-US" w:eastAsia="zh-CN"/>
        </w:rPr>
        <w:t>17826206655</w:t>
      </w:r>
      <w:bookmarkEnd w:id="52"/>
    </w:p>
    <w:p w14:paraId="6DBFB7E8">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bookmarkEnd w:id="53"/>
      <w:bookmarkEnd w:id="54"/>
      <w:r>
        <w:rPr>
          <w:rFonts w:hint="eastAsia" w:ascii="仿宋" w:hAnsi="仿宋" w:eastAsia="仿宋" w:cs="仿宋"/>
          <w:color w:val="000000"/>
          <w:sz w:val="24"/>
          <w:szCs w:val="24"/>
          <w:lang w:val="en-US" w:eastAsia="zh-CN"/>
        </w:rPr>
        <w:t>采购代理机构信息</w:t>
      </w:r>
    </w:p>
    <w:p w14:paraId="611961B2">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名    称：泗洪县公共资源交易中心</w:t>
      </w:r>
    </w:p>
    <w:p w14:paraId="572850FD">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地  　址：泗洪县仁和路5号</w:t>
      </w:r>
    </w:p>
    <w:p w14:paraId="3298A73A">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p>
    <w:p w14:paraId="11556F44">
      <w:pPr>
        <w:spacing w:line="480" w:lineRule="exact"/>
        <w:ind w:firstLine="480"/>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联系方式：17651080570</w:t>
      </w:r>
    </w:p>
    <w:p w14:paraId="06B636B4">
      <w:pPr>
        <w:spacing w:line="480" w:lineRule="exact"/>
        <w:ind w:firstLine="480"/>
        <w:jc w:val="center"/>
        <w:outlineLvl w:val="0"/>
        <w:rPr>
          <w:rFonts w:hint="eastAsia" w:ascii="仿宋" w:hAnsi="仿宋" w:eastAsia="仿宋" w:cs="仿宋"/>
          <w:color w:val="000000"/>
          <w:sz w:val="44"/>
        </w:rPr>
      </w:pPr>
      <w:r>
        <w:rPr>
          <w:rFonts w:hint="eastAsia" w:ascii="仿宋" w:hAnsi="仿宋" w:eastAsia="仿宋" w:cs="仿宋"/>
          <w:color w:val="000000"/>
          <w:sz w:val="24"/>
        </w:rPr>
        <w:br w:type="page" w:clear="all"/>
      </w:r>
      <w:bookmarkStart w:id="55" w:name="_Toc11687"/>
      <w:bookmarkStart w:id="56" w:name="_Toc81575153"/>
      <w:bookmarkStart w:id="57" w:name="_Toc15265"/>
      <w:bookmarkStart w:id="58" w:name="_Toc81575190"/>
      <w:bookmarkStart w:id="59" w:name="_Toc31597"/>
      <w:r>
        <w:rPr>
          <w:rFonts w:hint="eastAsia" w:ascii="仿宋" w:hAnsi="仿宋" w:eastAsia="仿宋" w:cs="仿宋"/>
          <w:color w:val="000000"/>
          <w:sz w:val="44"/>
        </w:rPr>
        <w:t>第二章  投标人须知</w:t>
      </w:r>
      <w:bookmarkEnd w:id="55"/>
      <w:bookmarkEnd w:id="56"/>
      <w:bookmarkEnd w:id="57"/>
      <w:bookmarkEnd w:id="58"/>
      <w:bookmarkEnd w:id="59"/>
    </w:p>
    <w:p w14:paraId="3B62ED9C">
      <w:pPr>
        <w:pStyle w:val="77"/>
        <w:spacing w:before="0" w:after="120" w:line="520" w:lineRule="exact"/>
        <w:rPr>
          <w:rFonts w:hint="eastAsia" w:ascii="仿宋" w:hAnsi="仿宋" w:eastAsia="仿宋" w:cs="仿宋"/>
          <w:bCs/>
          <w:color w:val="000000"/>
          <w:szCs w:val="22"/>
        </w:rPr>
      </w:pPr>
      <w:bookmarkStart w:id="60" w:name="_Toc4529"/>
      <w:r>
        <w:rPr>
          <w:rFonts w:hint="eastAsia" w:ascii="仿宋" w:hAnsi="仿宋" w:eastAsia="仿宋" w:cs="仿宋"/>
          <w:bCs/>
          <w:color w:val="000000"/>
          <w:szCs w:val="22"/>
        </w:rPr>
        <w:t>投标人须知前附表：</w:t>
      </w:r>
      <w:bookmarkEnd w:id="60"/>
    </w:p>
    <w:tbl>
      <w:tblPr>
        <w:tblStyle w:val="40"/>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1D0CD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22754F61">
            <w:pPr>
              <w:jc w:val="center"/>
              <w:rPr>
                <w:rFonts w:hint="eastAsia" w:ascii="仿宋" w:hAnsi="仿宋" w:eastAsia="仿宋" w:cs="仿宋"/>
                <w:b/>
                <w:color w:val="000000"/>
                <w:sz w:val="24"/>
                <w:szCs w:val="24"/>
              </w:rPr>
            </w:pPr>
            <w:bookmarkStart w:id="61" w:name="_Toc81575191"/>
            <w:bookmarkStart w:id="62" w:name="_Toc29262"/>
            <w:bookmarkStart w:id="63" w:name="_Toc81575154"/>
            <w:r>
              <w:rPr>
                <w:rFonts w:hint="eastAsia" w:ascii="仿宋" w:hAnsi="仿宋" w:eastAsia="仿宋" w:cs="仿宋"/>
                <w:b/>
                <w:color w:val="000000"/>
                <w:sz w:val="24"/>
                <w:szCs w:val="24"/>
              </w:rPr>
              <w:t>序号</w:t>
            </w:r>
          </w:p>
        </w:tc>
        <w:tc>
          <w:tcPr>
            <w:tcW w:w="1772" w:type="dxa"/>
            <w:noWrap w:val="0"/>
            <w:vAlign w:val="center"/>
          </w:tcPr>
          <w:p w14:paraId="6248A04C">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内容</w:t>
            </w:r>
          </w:p>
        </w:tc>
        <w:tc>
          <w:tcPr>
            <w:tcW w:w="6579" w:type="dxa"/>
            <w:noWrap w:val="0"/>
            <w:vAlign w:val="center"/>
          </w:tcPr>
          <w:p w14:paraId="0C5C0C76">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说明及要求</w:t>
            </w:r>
          </w:p>
        </w:tc>
      </w:tr>
      <w:tr w14:paraId="2A335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1D48782">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772" w:type="dxa"/>
            <w:noWrap w:val="0"/>
            <w:vAlign w:val="center"/>
          </w:tcPr>
          <w:p w14:paraId="5B2430D9">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项目属性</w:t>
            </w:r>
          </w:p>
        </w:tc>
        <w:tc>
          <w:tcPr>
            <w:tcW w:w="6579" w:type="dxa"/>
            <w:noWrap w:val="0"/>
            <w:vAlign w:val="center"/>
          </w:tcPr>
          <w:p w14:paraId="6F454522">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本项目</w:t>
            </w:r>
            <w:bookmarkStart w:id="64" w:name="EB9a5853ee094f4f0ea6ec3169265f6f2c"/>
            <w:r>
              <w:rPr>
                <w:rFonts w:hint="eastAsia" w:ascii="仿宋" w:hAnsi="仿宋" w:eastAsia="仿宋" w:cs="仿宋"/>
                <w:color w:val="000000"/>
                <w:sz w:val="24"/>
                <w:szCs w:val="24"/>
              </w:rPr>
              <w:t>属性按以下第</w:t>
            </w:r>
            <w:bookmarkEnd w:id="64"/>
            <w:r>
              <w:rPr>
                <w:rFonts w:hint="eastAsia" w:ascii="仿宋" w:hAnsi="仿宋" w:eastAsia="仿宋" w:cs="仿宋"/>
                <w:color w:val="000000"/>
                <w:sz w:val="24"/>
                <w:szCs w:val="24"/>
                <w:u w:val="single"/>
              </w:rPr>
              <w:t>2</w:t>
            </w:r>
            <w:r>
              <w:rPr>
                <w:rFonts w:hint="eastAsia" w:ascii="仿宋" w:hAnsi="仿宋" w:eastAsia="仿宋" w:cs="仿宋"/>
                <w:color w:val="000000"/>
                <w:sz w:val="24"/>
                <w:szCs w:val="24"/>
              </w:rPr>
              <w:t>种确定：</w:t>
            </w:r>
          </w:p>
          <w:p w14:paraId="6BB75102">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1.货物</w:t>
            </w:r>
            <w:bookmarkStart w:id="65" w:name="EBd5c6c026f9674c39b21b31ecd0c1e7fa"/>
            <w:r>
              <w:rPr>
                <w:rFonts w:hint="eastAsia" w:ascii="仿宋" w:hAnsi="仿宋" w:eastAsia="仿宋" w:cs="仿宋"/>
                <w:color w:val="000000"/>
                <w:sz w:val="24"/>
                <w:szCs w:val="24"/>
              </w:rPr>
              <w:t>采购；2.</w:t>
            </w:r>
            <w:bookmarkEnd w:id="65"/>
            <w:r>
              <w:rPr>
                <w:rFonts w:hint="eastAsia" w:ascii="仿宋" w:hAnsi="仿宋" w:eastAsia="仿宋" w:cs="仿宋"/>
                <w:color w:val="000000"/>
                <w:sz w:val="24"/>
                <w:szCs w:val="24"/>
              </w:rPr>
              <w:t>服务</w:t>
            </w:r>
            <w:bookmarkStart w:id="66" w:name="EBf7d2a4f44ecb4166a93ea852e73be69f"/>
            <w:r>
              <w:rPr>
                <w:rFonts w:hint="eastAsia" w:ascii="仿宋" w:hAnsi="仿宋" w:eastAsia="仿宋" w:cs="仿宋"/>
                <w:color w:val="000000"/>
                <w:sz w:val="24"/>
                <w:szCs w:val="24"/>
              </w:rPr>
              <w:t>采购；3.</w:t>
            </w:r>
            <w:bookmarkEnd w:id="66"/>
            <w:r>
              <w:rPr>
                <w:rFonts w:hint="eastAsia" w:ascii="仿宋" w:hAnsi="仿宋" w:eastAsia="仿宋" w:cs="仿宋"/>
                <w:color w:val="000000"/>
                <w:sz w:val="24"/>
                <w:szCs w:val="24"/>
              </w:rPr>
              <w:t>工程采购。</w:t>
            </w:r>
          </w:p>
        </w:tc>
      </w:tr>
      <w:tr w14:paraId="71023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22CAD009">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772" w:type="dxa"/>
            <w:noWrap w:val="0"/>
            <w:vAlign w:val="center"/>
          </w:tcPr>
          <w:p w14:paraId="30EACF3B">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投标有效期</w:t>
            </w:r>
          </w:p>
        </w:tc>
        <w:tc>
          <w:tcPr>
            <w:tcW w:w="6579" w:type="dxa"/>
            <w:noWrap w:val="0"/>
            <w:vAlign w:val="center"/>
          </w:tcPr>
          <w:p w14:paraId="54FB615F">
            <w:pPr>
              <w:spacing w:line="400" w:lineRule="exact"/>
              <w:jc w:val="left"/>
              <w:rPr>
                <w:rFonts w:hint="eastAsia" w:ascii="仿宋" w:hAnsi="仿宋" w:eastAsia="仿宋" w:cs="仿宋"/>
                <w:color w:val="000000"/>
                <w:sz w:val="24"/>
                <w:szCs w:val="24"/>
              </w:rPr>
            </w:pPr>
            <w:bookmarkStart w:id="67" w:name="EBd40b5fb42f2944a3b45e579ce3941f02"/>
            <w:bookmarkEnd w:id="67"/>
            <w:r>
              <w:rPr>
                <w:rFonts w:hint="eastAsia" w:ascii="仿宋" w:hAnsi="仿宋" w:eastAsia="仿宋" w:cs="仿宋"/>
                <w:color w:val="000000"/>
                <w:sz w:val="24"/>
                <w:szCs w:val="24"/>
              </w:rPr>
              <w:t>60日（从提交投标文件截止之日起算）</w:t>
            </w:r>
          </w:p>
        </w:tc>
      </w:tr>
      <w:tr w14:paraId="6F52A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C8E64D1">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1772" w:type="dxa"/>
            <w:noWrap w:val="0"/>
            <w:vAlign w:val="center"/>
          </w:tcPr>
          <w:p w14:paraId="722395C4">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投标文件份数</w:t>
            </w:r>
          </w:p>
        </w:tc>
        <w:tc>
          <w:tcPr>
            <w:tcW w:w="6579" w:type="dxa"/>
            <w:noWrap w:val="0"/>
            <w:vAlign w:val="center"/>
          </w:tcPr>
          <w:p w14:paraId="058C2BAB">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提交加密电子投标文件</w:t>
            </w:r>
            <w:r>
              <w:rPr>
                <w:rFonts w:hint="eastAsia" w:ascii="仿宋" w:hAnsi="仿宋" w:eastAsia="仿宋" w:cs="仿宋"/>
                <w:color w:val="000000"/>
                <w:sz w:val="24"/>
                <w:szCs w:val="24"/>
                <w:u w:val="single"/>
              </w:rPr>
              <w:t>1</w:t>
            </w:r>
            <w:r>
              <w:rPr>
                <w:rFonts w:hint="eastAsia" w:ascii="仿宋" w:hAnsi="仿宋" w:eastAsia="仿宋" w:cs="仿宋"/>
                <w:color w:val="000000"/>
                <w:sz w:val="24"/>
                <w:szCs w:val="24"/>
              </w:rPr>
              <w:t>份。</w:t>
            </w:r>
          </w:p>
        </w:tc>
      </w:tr>
      <w:tr w14:paraId="73D69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99CB316">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772" w:type="dxa"/>
            <w:noWrap w:val="0"/>
            <w:vAlign w:val="center"/>
          </w:tcPr>
          <w:p w14:paraId="5742F028">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开标</w:t>
            </w:r>
          </w:p>
        </w:tc>
        <w:tc>
          <w:tcPr>
            <w:tcW w:w="6579" w:type="dxa"/>
            <w:noWrap w:val="0"/>
            <w:vAlign w:val="center"/>
          </w:tcPr>
          <w:p w14:paraId="13632B14">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“苏采云”政府采购交易系统网上开标大厅进行不见面开标。</w:t>
            </w:r>
          </w:p>
        </w:tc>
      </w:tr>
      <w:tr w14:paraId="5D36F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6BA4C934">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772" w:type="dxa"/>
            <w:noWrap w:val="0"/>
            <w:vAlign w:val="center"/>
          </w:tcPr>
          <w:p w14:paraId="1A3E73CD">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进口产品</w:t>
            </w:r>
          </w:p>
        </w:tc>
        <w:tc>
          <w:tcPr>
            <w:tcW w:w="6579" w:type="dxa"/>
            <w:noWrap w:val="0"/>
            <w:vAlign w:val="center"/>
          </w:tcPr>
          <w:p w14:paraId="1BB52AF6">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按以下第</w:t>
            </w:r>
            <w:r>
              <w:rPr>
                <w:rFonts w:hint="eastAsia" w:ascii="仿宋" w:hAnsi="仿宋" w:eastAsia="仿宋" w:cs="仿宋"/>
                <w:color w:val="000000"/>
                <w:sz w:val="24"/>
                <w:szCs w:val="24"/>
                <w:u w:val="single"/>
              </w:rPr>
              <w:t>2</w:t>
            </w:r>
            <w:r>
              <w:rPr>
                <w:rFonts w:hint="eastAsia" w:ascii="仿宋" w:hAnsi="仿宋" w:eastAsia="仿宋" w:cs="仿宋"/>
                <w:color w:val="000000"/>
                <w:sz w:val="24"/>
                <w:szCs w:val="24"/>
              </w:rPr>
              <w:t>种方式确定：</w:t>
            </w:r>
          </w:p>
          <w:p w14:paraId="42DFB370">
            <w:pPr>
              <w:widowControl/>
              <w:spacing w:line="36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1.接受进口产品。</w:t>
            </w:r>
            <w:r>
              <w:rPr>
                <w:rFonts w:hint="eastAsia" w:ascii="仿宋" w:hAnsi="仿宋" w:eastAsia="仿宋" w:cs="仿宋"/>
                <w:color w:val="000000"/>
                <w:sz w:val="24"/>
              </w:rPr>
              <w:t>应当符合《政府采购进口产品管理办法》（财库〔2007〕119号）、《关于政府采购进口产品管理有关问题的通知》（财办库〔2008〕248号）等相关规定</w:t>
            </w:r>
            <w:r>
              <w:rPr>
                <w:rFonts w:hint="eastAsia" w:ascii="仿宋" w:hAnsi="仿宋" w:eastAsia="仿宋" w:cs="仿宋"/>
                <w:color w:val="000000"/>
                <w:sz w:val="24"/>
                <w:szCs w:val="24"/>
              </w:rPr>
              <w:t>；</w:t>
            </w:r>
          </w:p>
          <w:p w14:paraId="337019B0">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2.不接受进口产品。</w:t>
            </w:r>
          </w:p>
        </w:tc>
      </w:tr>
      <w:tr w14:paraId="3B02C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954979B">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1772" w:type="dxa"/>
            <w:noWrap w:val="0"/>
            <w:vAlign w:val="center"/>
          </w:tcPr>
          <w:p w14:paraId="1E437361">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评标办法</w:t>
            </w:r>
          </w:p>
        </w:tc>
        <w:tc>
          <w:tcPr>
            <w:tcW w:w="6579" w:type="dxa"/>
            <w:noWrap w:val="0"/>
            <w:vAlign w:val="center"/>
          </w:tcPr>
          <w:p w14:paraId="47CBA525">
            <w:pPr>
              <w:spacing w:line="400" w:lineRule="exac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具体评标办法详见招标文件第三章。</w:t>
            </w:r>
          </w:p>
          <w:p w14:paraId="229C7217">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评标委员会依据招标文件规定的评标办法和标准推荐</w:t>
            </w:r>
            <w:r>
              <w:rPr>
                <w:rFonts w:hint="eastAsia" w:ascii="仿宋" w:hAnsi="仿宋" w:eastAsia="仿宋" w:cs="仿宋"/>
                <w:color w:val="000000"/>
                <w:sz w:val="24"/>
                <w:szCs w:val="24"/>
                <w:highlight w:val="none"/>
                <w:u w:val="single"/>
              </w:rPr>
              <w:t>3</w:t>
            </w:r>
            <w:r>
              <w:rPr>
                <w:rFonts w:hint="eastAsia" w:ascii="仿宋" w:hAnsi="仿宋" w:eastAsia="仿宋" w:cs="仿宋"/>
                <w:color w:val="000000"/>
                <w:sz w:val="24"/>
                <w:szCs w:val="24"/>
                <w:highlight w:val="none"/>
              </w:rPr>
              <w:t>名中标候选</w:t>
            </w:r>
            <w:r>
              <w:rPr>
                <w:rFonts w:hint="eastAsia" w:ascii="仿宋" w:hAnsi="仿宋" w:eastAsia="仿宋" w:cs="仿宋"/>
                <w:color w:val="000000"/>
                <w:sz w:val="24"/>
                <w:szCs w:val="24"/>
                <w:highlight w:val="none"/>
                <w:lang w:eastAsia="zh-CN"/>
              </w:rPr>
              <w:t>人</w:t>
            </w:r>
            <w:r>
              <w:rPr>
                <w:rFonts w:hint="eastAsia" w:ascii="仿宋" w:hAnsi="仿宋" w:eastAsia="仿宋" w:cs="仿宋"/>
                <w:color w:val="000000"/>
                <w:sz w:val="24"/>
                <w:szCs w:val="24"/>
                <w:highlight w:val="none"/>
              </w:rPr>
              <w:t>。</w:t>
            </w:r>
            <w:r>
              <w:rPr>
                <w:rFonts w:hint="eastAsia" w:ascii="仿宋" w:hAnsi="仿宋" w:eastAsia="仿宋" w:cs="仿宋"/>
                <w:b/>
                <w:bCs/>
                <w:color w:val="auto"/>
                <w:sz w:val="24"/>
                <w:szCs w:val="24"/>
                <w:highlight w:val="none"/>
                <w:lang w:val="en-US" w:eastAsia="zh-CN"/>
              </w:rPr>
              <w:t>注：本项目实施方案采用暗标形式，须按下列格式编制，否则视为无效投标文件：方案内容、文字均不得出现标设图形、照片、彩色文字；不得出现投标人名称、相关人员姓名等能体现有关投标人信息的提示性标记、文字、语句等。</w:t>
            </w:r>
          </w:p>
        </w:tc>
      </w:tr>
      <w:tr w14:paraId="01421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6A28864">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7</w:t>
            </w:r>
          </w:p>
        </w:tc>
        <w:tc>
          <w:tcPr>
            <w:tcW w:w="1772" w:type="dxa"/>
            <w:noWrap w:val="0"/>
            <w:vAlign w:val="center"/>
          </w:tcPr>
          <w:p w14:paraId="02938037">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确定中标人</w:t>
            </w:r>
          </w:p>
        </w:tc>
        <w:tc>
          <w:tcPr>
            <w:tcW w:w="6579" w:type="dxa"/>
            <w:noWrap w:val="0"/>
            <w:vAlign w:val="center"/>
          </w:tcPr>
          <w:p w14:paraId="20489FC2">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按以下第</w:t>
            </w:r>
            <w:r>
              <w:rPr>
                <w:rFonts w:hint="eastAsia" w:ascii="仿宋" w:hAnsi="仿宋" w:eastAsia="仿宋" w:cs="仿宋"/>
                <w:color w:val="000000"/>
                <w:sz w:val="24"/>
                <w:szCs w:val="24"/>
                <w:u w:val="single"/>
                <w:lang w:val="en-US" w:eastAsia="zh-CN"/>
              </w:rPr>
              <w:t>1</w:t>
            </w:r>
            <w:r>
              <w:rPr>
                <w:rFonts w:hint="eastAsia" w:ascii="仿宋" w:hAnsi="仿宋" w:eastAsia="仿宋" w:cs="仿宋"/>
                <w:color w:val="000000"/>
                <w:sz w:val="24"/>
                <w:szCs w:val="24"/>
              </w:rPr>
              <w:t>种方式确定中标人：</w:t>
            </w:r>
          </w:p>
          <w:p w14:paraId="2580CE35">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1.采购人按规定在评标委员会推荐的中标候选人中确定中标人；</w:t>
            </w:r>
          </w:p>
          <w:p w14:paraId="5333A49D">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2.采购人授权评标委员会直接确定中标人。</w:t>
            </w:r>
          </w:p>
        </w:tc>
      </w:tr>
      <w:tr w14:paraId="2ED5C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FFEA344">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8</w:t>
            </w:r>
          </w:p>
        </w:tc>
        <w:tc>
          <w:tcPr>
            <w:tcW w:w="1772" w:type="dxa"/>
            <w:noWrap w:val="0"/>
            <w:vAlign w:val="center"/>
          </w:tcPr>
          <w:p w14:paraId="6BDD00E2">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分包要求</w:t>
            </w:r>
          </w:p>
        </w:tc>
        <w:tc>
          <w:tcPr>
            <w:tcW w:w="6579" w:type="dxa"/>
            <w:noWrap w:val="0"/>
            <w:vAlign w:val="center"/>
          </w:tcPr>
          <w:p w14:paraId="1A94A126">
            <w:pPr>
              <w:spacing w:line="400" w:lineRule="exact"/>
              <w:jc w:val="left"/>
              <w:rPr>
                <w:rFonts w:hint="eastAsia" w:ascii="仿宋" w:hAnsi="仿宋" w:eastAsia="仿宋" w:cs="仿宋"/>
                <w:color w:val="000000"/>
                <w:sz w:val="24"/>
                <w:szCs w:val="24"/>
              </w:rPr>
            </w:pPr>
            <w:bookmarkStart w:id="68" w:name="EBebac1462c5d9459fbda8a75065c2455d"/>
            <w:r>
              <w:rPr>
                <w:rFonts w:hint="eastAsia" w:ascii="仿宋" w:hAnsi="仿宋" w:eastAsia="仿宋" w:cs="仿宋"/>
                <w:color w:val="000000"/>
                <w:sz w:val="24"/>
                <w:szCs w:val="24"/>
              </w:rPr>
              <w:t>本项目的非主体、非关键性工作是否允许分包</w:t>
            </w:r>
            <w:bookmarkEnd w:id="68"/>
            <w:r>
              <w:rPr>
                <w:rFonts w:hint="eastAsia" w:ascii="仿宋" w:hAnsi="仿宋" w:eastAsia="仿宋" w:cs="仿宋"/>
                <w:color w:val="000000"/>
                <w:sz w:val="24"/>
                <w:szCs w:val="24"/>
              </w:rPr>
              <w:t>按以下第</w:t>
            </w:r>
            <w:r>
              <w:rPr>
                <w:rFonts w:hint="eastAsia" w:ascii="仿宋" w:hAnsi="仿宋" w:eastAsia="仿宋" w:cs="仿宋"/>
                <w:color w:val="000000"/>
                <w:sz w:val="24"/>
                <w:szCs w:val="24"/>
                <w:u w:val="single"/>
              </w:rPr>
              <w:t>  2  </w:t>
            </w:r>
            <w:r>
              <w:rPr>
                <w:rFonts w:hint="eastAsia" w:ascii="仿宋" w:hAnsi="仿宋" w:eastAsia="仿宋" w:cs="仿宋"/>
                <w:color w:val="000000"/>
                <w:sz w:val="24"/>
                <w:szCs w:val="24"/>
              </w:rPr>
              <w:t>种方式确定：</w:t>
            </w:r>
          </w:p>
          <w:p w14:paraId="48DB2049">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1.允许分包，</w:t>
            </w:r>
            <w:bookmarkStart w:id="69" w:name="EB512ba06683724173802e2aae54a26079"/>
            <w:r>
              <w:rPr>
                <w:rFonts w:hint="eastAsia" w:ascii="仿宋" w:hAnsi="仿宋" w:eastAsia="仿宋" w:cs="仿宋"/>
                <w:color w:val="000000"/>
                <w:sz w:val="24"/>
                <w:szCs w:val="24"/>
              </w:rPr>
              <w:t>允许大中型企业向一家或者多家小微企业分包，分包具体内容、金额或比例：</w:t>
            </w:r>
            <w:bookmarkEnd w:id="69"/>
            <w:r>
              <w:rPr>
                <w:rFonts w:hint="eastAsia" w:ascii="仿宋" w:hAnsi="仿宋" w:eastAsia="仿宋" w:cs="仿宋"/>
                <w:color w:val="000000"/>
                <w:sz w:val="24"/>
                <w:szCs w:val="24"/>
              </w:rPr>
              <w:t>无</w:t>
            </w:r>
          </w:p>
          <w:p w14:paraId="1A6F9700">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2.不允许分包。</w:t>
            </w:r>
          </w:p>
        </w:tc>
      </w:tr>
      <w:tr w14:paraId="2F842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4CB42B8">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9</w:t>
            </w:r>
          </w:p>
        </w:tc>
        <w:tc>
          <w:tcPr>
            <w:tcW w:w="1772" w:type="dxa"/>
            <w:noWrap w:val="0"/>
            <w:vAlign w:val="center"/>
          </w:tcPr>
          <w:p w14:paraId="7D71E1DE">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代理费用收取方式及标准</w:t>
            </w:r>
          </w:p>
        </w:tc>
        <w:tc>
          <w:tcPr>
            <w:tcW w:w="6579" w:type="dxa"/>
            <w:noWrap w:val="0"/>
            <w:vAlign w:val="center"/>
          </w:tcPr>
          <w:p w14:paraId="43D855DB">
            <w:pPr>
              <w:spacing w:line="400" w:lineRule="exact"/>
              <w:jc w:val="left"/>
              <w:rPr>
                <w:rFonts w:hint="eastAsia" w:ascii="仿宋" w:hAnsi="仿宋" w:eastAsia="仿宋" w:cs="仿宋"/>
                <w:color w:val="000000"/>
                <w:sz w:val="24"/>
                <w:szCs w:val="24"/>
              </w:rPr>
            </w:pPr>
            <w:bookmarkStart w:id="70" w:name="EBfe735bb6fc4d4e5e9e350f940db98c5f"/>
            <w:bookmarkEnd w:id="70"/>
            <w:r>
              <w:rPr>
                <w:rFonts w:hint="eastAsia" w:ascii="仿宋" w:hAnsi="仿宋" w:eastAsia="仿宋" w:cs="仿宋"/>
                <w:color w:val="000000"/>
                <w:sz w:val="24"/>
                <w:szCs w:val="24"/>
              </w:rPr>
              <w:t>本项目不收取代理费。</w:t>
            </w:r>
          </w:p>
        </w:tc>
      </w:tr>
      <w:tr w14:paraId="0AA71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F4FDDFD">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10</w:t>
            </w:r>
          </w:p>
        </w:tc>
        <w:tc>
          <w:tcPr>
            <w:tcW w:w="1772" w:type="dxa"/>
            <w:noWrap w:val="0"/>
            <w:vAlign w:val="center"/>
          </w:tcPr>
          <w:p w14:paraId="033FF058">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专家评审劳务报酬支付标准、方式及周期</w:t>
            </w:r>
          </w:p>
        </w:tc>
        <w:tc>
          <w:tcPr>
            <w:tcW w:w="6579" w:type="dxa"/>
            <w:noWrap w:val="0"/>
            <w:vAlign w:val="center"/>
          </w:tcPr>
          <w:p w14:paraId="726C8673">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支付标准:参照《宿迁市政府采购专家评审费发放标准》宿财购[2018]32号支付，(2小时以内200元/人;超过2小时不足8小时的，按100元/人·小时计算;连续评审超过8小时，超出部分按200元/人·小时计算。)</w:t>
            </w:r>
          </w:p>
          <w:p w14:paraId="2D4508D8">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支付方式及周期:费用由</w:t>
            </w:r>
            <w:r>
              <w:rPr>
                <w:rFonts w:hint="eastAsia" w:ascii="仿宋" w:hAnsi="仿宋" w:eastAsia="仿宋" w:cs="仿宋"/>
                <w:color w:val="000000"/>
                <w:sz w:val="24"/>
                <w:szCs w:val="24"/>
                <w:lang w:val="en-US" w:eastAsia="zh-CN"/>
              </w:rPr>
              <w:t>采购机构</w:t>
            </w:r>
            <w:r>
              <w:rPr>
                <w:rFonts w:hint="eastAsia" w:ascii="仿宋" w:hAnsi="仿宋" w:eastAsia="仿宋" w:cs="仿宋"/>
                <w:color w:val="000000"/>
                <w:sz w:val="24"/>
                <w:szCs w:val="24"/>
              </w:rPr>
              <w:t>通过预算一体化系统支付评审费，支付周期不超过评审结束后</w:t>
            </w:r>
            <w:r>
              <w:rPr>
                <w:rFonts w:hint="eastAsia" w:ascii="仿宋" w:hAnsi="仿宋" w:eastAsia="仿宋" w:cs="仿宋"/>
                <w:color w:val="000000"/>
                <w:sz w:val="24"/>
                <w:szCs w:val="24"/>
                <w:lang w:val="en-US" w:eastAsia="zh-CN"/>
              </w:rPr>
              <w:t>30</w:t>
            </w:r>
            <w:r>
              <w:rPr>
                <w:rFonts w:hint="eastAsia" w:ascii="仿宋" w:hAnsi="仿宋" w:eastAsia="仿宋" w:cs="仿宋"/>
                <w:color w:val="000000"/>
                <w:sz w:val="24"/>
                <w:szCs w:val="24"/>
              </w:rPr>
              <w:t>个工作日。</w:t>
            </w:r>
          </w:p>
        </w:tc>
      </w:tr>
      <w:tr w14:paraId="0E536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A109BE8">
            <w:pPr>
              <w:spacing w:line="400" w:lineRule="exact"/>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11</w:t>
            </w:r>
          </w:p>
        </w:tc>
        <w:tc>
          <w:tcPr>
            <w:tcW w:w="1772" w:type="dxa"/>
            <w:noWrap w:val="0"/>
            <w:vAlign w:val="center"/>
          </w:tcPr>
          <w:p w14:paraId="6722A106">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其他</w:t>
            </w:r>
            <w:bookmarkEnd w:id="61"/>
            <w:bookmarkEnd w:id="62"/>
            <w:bookmarkEnd w:id="63"/>
          </w:p>
        </w:tc>
        <w:tc>
          <w:tcPr>
            <w:tcW w:w="6579" w:type="dxa"/>
            <w:noWrap w:val="0"/>
            <w:vAlign w:val="center"/>
          </w:tcPr>
          <w:p w14:paraId="5CF03723">
            <w:pPr>
              <w:spacing w:line="40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信用信息查询截止时间：资格审查结束前。由采购人在资格审查现场查询信用信息，网页截屏打印，查询结果留存并归档。</w:t>
            </w:r>
          </w:p>
        </w:tc>
      </w:tr>
    </w:tbl>
    <w:p w14:paraId="43997363">
      <w:pPr>
        <w:rPr>
          <w:rFonts w:hint="eastAsia" w:ascii="仿宋" w:hAnsi="仿宋" w:eastAsia="仿宋" w:cs="仿宋"/>
          <w:color w:val="000000"/>
          <w:sz w:val="20"/>
        </w:rPr>
      </w:pPr>
    </w:p>
    <w:p w14:paraId="7EBBF6B0">
      <w:pPr>
        <w:pStyle w:val="77"/>
        <w:spacing w:before="0" w:after="0" w:line="480" w:lineRule="exact"/>
        <w:ind w:firstLine="321"/>
        <w:rPr>
          <w:rFonts w:hint="eastAsia" w:ascii="仿宋" w:hAnsi="仿宋" w:eastAsia="仿宋" w:cs="仿宋"/>
          <w:bCs/>
          <w:color w:val="000000"/>
          <w:szCs w:val="22"/>
        </w:rPr>
      </w:pPr>
      <w:bookmarkStart w:id="71" w:name="EB6eaaf474639940df900ef4965d71f450"/>
      <w:bookmarkEnd w:id="71"/>
      <w:bookmarkStart w:id="72" w:name="_Toc30953"/>
      <w:bookmarkStart w:id="73" w:name="_Toc81575155"/>
      <w:bookmarkStart w:id="74" w:name="_Toc81575192"/>
      <w:bookmarkStart w:id="75" w:name="_Toc8239"/>
      <w:r>
        <w:rPr>
          <w:rFonts w:hint="eastAsia" w:ascii="仿宋" w:hAnsi="仿宋" w:eastAsia="仿宋" w:cs="仿宋"/>
          <w:bCs/>
          <w:color w:val="000000"/>
          <w:szCs w:val="22"/>
        </w:rPr>
        <w:t>一、总 则</w:t>
      </w:r>
      <w:bookmarkEnd w:id="72"/>
      <w:bookmarkEnd w:id="73"/>
      <w:bookmarkEnd w:id="74"/>
      <w:bookmarkEnd w:id="75"/>
    </w:p>
    <w:p w14:paraId="271C1219">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1、招标方式</w:t>
      </w:r>
    </w:p>
    <w:p w14:paraId="7D05DD5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本次采购采取公开招标方式。</w:t>
      </w:r>
    </w:p>
    <w:p w14:paraId="3B2A6FAC">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2、合格的投标人</w:t>
      </w:r>
    </w:p>
    <w:p w14:paraId="20A34F2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2.1合格的投标人必须符合招标文件第一章《投标邀请》第二条及投标人须知前附表相关规定，且具备完成本项目的能力，中标后不允许转包。</w:t>
      </w:r>
    </w:p>
    <w:p w14:paraId="65539D2F">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2.2满足本文件实质性要求的规定。</w:t>
      </w:r>
    </w:p>
    <w:p w14:paraId="31410260">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3、适用法律</w:t>
      </w:r>
    </w:p>
    <w:p w14:paraId="38036C6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本次招标及由招标产生的合同受中华人民共和国的相关法律、法规制约和保护。</w:t>
      </w:r>
    </w:p>
    <w:p w14:paraId="0A2F9515">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4、投标费用</w:t>
      </w:r>
    </w:p>
    <w:p w14:paraId="1AFC11E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投标人应自行承担所有参加投标有关的费用。</w:t>
      </w:r>
    </w:p>
    <w:p w14:paraId="7F440206">
      <w:pPr>
        <w:pStyle w:val="77"/>
        <w:spacing w:before="0" w:after="0" w:line="480" w:lineRule="exact"/>
        <w:ind w:firstLine="321"/>
        <w:rPr>
          <w:rFonts w:hint="eastAsia" w:ascii="仿宋" w:hAnsi="仿宋" w:eastAsia="仿宋" w:cs="仿宋"/>
          <w:bCs/>
          <w:color w:val="000000"/>
          <w:szCs w:val="22"/>
        </w:rPr>
      </w:pPr>
      <w:bookmarkStart w:id="76" w:name="_Toc15995"/>
      <w:bookmarkStart w:id="77" w:name="_Toc81575193"/>
      <w:bookmarkStart w:id="78" w:name="_Toc29306"/>
      <w:bookmarkStart w:id="79" w:name="_Toc81575156"/>
      <w:r>
        <w:rPr>
          <w:rFonts w:hint="eastAsia" w:ascii="仿宋" w:hAnsi="仿宋" w:eastAsia="仿宋" w:cs="仿宋"/>
          <w:bCs/>
          <w:color w:val="000000"/>
          <w:szCs w:val="22"/>
        </w:rPr>
        <w:t>二、招标文件</w:t>
      </w:r>
      <w:bookmarkEnd w:id="76"/>
      <w:bookmarkEnd w:id="77"/>
      <w:bookmarkEnd w:id="78"/>
      <w:bookmarkEnd w:id="79"/>
    </w:p>
    <w:p w14:paraId="736A25F8">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5、招标文件构成</w:t>
      </w:r>
    </w:p>
    <w:p w14:paraId="0DAF872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5.1招标文件由以下部分组成：</w:t>
      </w:r>
    </w:p>
    <w:p w14:paraId="009814D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第一章：投标邀请；</w:t>
      </w:r>
    </w:p>
    <w:p w14:paraId="18A2C16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第二章：投标人须知；</w:t>
      </w:r>
    </w:p>
    <w:p w14:paraId="097E1501">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第三章：资格审查及评标办法；</w:t>
      </w:r>
    </w:p>
    <w:p w14:paraId="7E10A13A">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第四章：采购需求；</w:t>
      </w:r>
    </w:p>
    <w:p w14:paraId="6C4A4BA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第五章：合同文本；</w:t>
      </w:r>
    </w:p>
    <w:p w14:paraId="5F18C3EA">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第六章：投标文件格式。</w:t>
      </w:r>
    </w:p>
    <w:p w14:paraId="212AE0C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请仔细检查招标文件是否齐全，如有缺漏请立即与代理机构联系解决。</w:t>
      </w:r>
    </w:p>
    <w:p w14:paraId="067EBC44">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699DA334">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6、政府采购政策功能落实</w:t>
      </w:r>
    </w:p>
    <w:p w14:paraId="73E866F1">
      <w:pPr>
        <w:spacing w:line="480" w:lineRule="exact"/>
        <w:ind w:firstLine="482"/>
        <w:rPr>
          <w:rFonts w:hint="eastAsia" w:ascii="仿宋" w:hAnsi="仿宋" w:eastAsia="仿宋" w:cs="仿宋"/>
          <w:b/>
          <w:bCs/>
          <w:color w:val="000000"/>
          <w:sz w:val="24"/>
          <w:u w:val="single"/>
        </w:rPr>
      </w:pPr>
      <w:r>
        <w:rPr>
          <w:rFonts w:hint="eastAsia" w:ascii="仿宋" w:hAnsi="仿宋" w:eastAsia="仿宋" w:cs="仿宋"/>
          <w:b/>
          <w:bCs/>
          <w:color w:val="000000"/>
          <w:sz w:val="24"/>
        </w:rPr>
        <w:t>本项目落实的政府采购政策对应序号为</w:t>
      </w:r>
      <w:r>
        <w:rPr>
          <w:rFonts w:hint="eastAsia" w:ascii="仿宋" w:hAnsi="仿宋" w:eastAsia="仿宋" w:cs="仿宋"/>
          <w:b/>
          <w:bCs/>
          <w:color w:val="000000"/>
          <w:sz w:val="24"/>
          <w:u w:val="single"/>
        </w:rPr>
        <w:t xml:space="preserve">   6.1    </w:t>
      </w:r>
    </w:p>
    <w:p w14:paraId="7F749B8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6.1中小企业政策</w:t>
      </w:r>
    </w:p>
    <w:p w14:paraId="11057D4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本项目按第</w:t>
      </w:r>
      <w:r>
        <w:rPr>
          <w:rFonts w:hint="eastAsia" w:ascii="仿宋" w:hAnsi="仿宋" w:eastAsia="仿宋" w:cs="仿宋"/>
          <w:color w:val="000000"/>
          <w:sz w:val="24"/>
          <w:u w:val="single"/>
        </w:rPr>
        <w:t>（</w:t>
      </w:r>
      <w:r>
        <w:rPr>
          <w:rFonts w:hint="eastAsia" w:ascii="仿宋" w:hAnsi="仿宋" w:eastAsia="仿宋" w:cs="仿宋"/>
          <w:color w:val="000000"/>
          <w:sz w:val="24"/>
          <w:u w:val="single"/>
          <w:lang w:val="en-US" w:eastAsia="zh-CN"/>
        </w:rPr>
        <w:t>1</w:t>
      </w:r>
      <w:r>
        <w:rPr>
          <w:rFonts w:hint="eastAsia" w:ascii="仿宋" w:hAnsi="仿宋" w:eastAsia="仿宋" w:cs="仿宋"/>
          <w:color w:val="000000"/>
          <w:sz w:val="24"/>
          <w:u w:val="single"/>
        </w:rPr>
        <w:t>）</w:t>
      </w:r>
      <w:r>
        <w:rPr>
          <w:rFonts w:hint="eastAsia" w:ascii="仿宋" w:hAnsi="仿宋" w:eastAsia="仿宋" w:cs="仿宋"/>
          <w:color w:val="000000"/>
          <w:sz w:val="24"/>
        </w:rPr>
        <w:t>种政策落实：</w:t>
      </w:r>
    </w:p>
    <w:p w14:paraId="70C0305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（1）本项目专门面向中小企业（含监狱与戒毒企业、残疾人福利企业）采购。</w:t>
      </w:r>
    </w:p>
    <w:p w14:paraId="320C3DA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（2）对符合规定情形的小微企业报价给予15%扣除，用扣除后的价格参加评审。</w:t>
      </w:r>
    </w:p>
    <w:p w14:paraId="541F6B4A">
      <w:pPr>
        <w:spacing w:line="480" w:lineRule="exact"/>
        <w:ind w:firstLine="480"/>
        <w:rPr>
          <w:rFonts w:hint="eastAsia" w:ascii="仿宋" w:hAnsi="仿宋" w:eastAsia="仿宋" w:cs="仿宋"/>
          <w:color w:val="000000"/>
          <w:sz w:val="24"/>
        </w:rPr>
      </w:pPr>
      <w:r>
        <w:rPr>
          <w:rFonts w:hint="eastAsia" w:ascii="仿宋" w:hAnsi="仿宋" w:eastAsia="仿宋" w:cs="仿宋"/>
          <w:color w:val="auto"/>
          <w:sz w:val="24"/>
          <w:highlight w:val="none"/>
        </w:rPr>
        <w:t>在服务采购项目中，服务由中小企业承接，即提供服务的人员为中小企业依照《中华人民共和国劳动合同法》订立劳动合同的从业人员。</w:t>
      </w:r>
    </w:p>
    <w:p w14:paraId="3D3C0B3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525F7996">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2F33E72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053E852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000000"/>
          <w:sz w:val="24"/>
          <w:u w:val="single"/>
        </w:rPr>
        <w:t>5</w:t>
      </w:r>
      <w:r>
        <w:rPr>
          <w:rFonts w:hint="eastAsia" w:ascii="仿宋" w:hAnsi="仿宋" w:eastAsia="仿宋" w:cs="仿宋"/>
          <w:color w:val="000000"/>
          <w:sz w:val="24"/>
        </w:rPr>
        <w:t>%（工程项目为</w:t>
      </w:r>
      <w:r>
        <w:rPr>
          <w:rFonts w:hint="eastAsia" w:ascii="仿宋" w:hAnsi="仿宋" w:eastAsia="仿宋" w:cs="仿宋"/>
          <w:color w:val="000000"/>
          <w:sz w:val="24"/>
          <w:u w:val="single"/>
        </w:rPr>
        <w:t>2</w:t>
      </w:r>
      <w:r>
        <w:rPr>
          <w:rFonts w:hint="eastAsia" w:ascii="仿宋" w:hAnsi="仿宋" w:eastAsia="仿宋" w:cs="仿宋"/>
          <w:color w:val="000000"/>
          <w:sz w:val="24"/>
        </w:rPr>
        <w:t>%）的扣除，用扣除后的价格参加评审。（是否接受联合体以“项目基本情况”相关内容为准，是否允许大中型企业向一家或者多家小微企业分包以“须知前附表”、“采购需求”相关内容为准。）</w:t>
      </w:r>
    </w:p>
    <w:p w14:paraId="130B279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⑤联合体各方均为小型、微型企业（残疾人福利单位、监狱企业）的，联合体享受15%价格扣除，用扣除后的价格参与评审。</w:t>
      </w:r>
    </w:p>
    <w:p w14:paraId="55700B1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6.2节能产品、环境标志产品</w:t>
      </w:r>
    </w:p>
    <w:p w14:paraId="7434AD7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拟采购的产品属于品目清单范围的，采购人将依据国家确定的认证机构出具的、处于有效期之内的节能产品、环境标志产品认证证书，对获得证书的产品实施政府优先采购或强制采购。</w:t>
      </w:r>
    </w:p>
    <w:p w14:paraId="7306BE4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6.2.1拟采购的产品属于政府强制采购的节能产品品目清单范围的，投标人须提供国家确定的认证机构出具的、处于有效期之内的节能产品认证证书，否则其投标文件作无效标处理。</w:t>
      </w:r>
    </w:p>
    <w:p w14:paraId="477E5DF8">
      <w:pPr>
        <w:keepNext w:val="0"/>
        <w:keepLines w:val="0"/>
        <w:pageBreakBefore w:val="0"/>
        <w:widowControl w:val="0"/>
        <w:spacing w:line="480" w:lineRule="exact"/>
        <w:ind w:firstLine="480"/>
        <w:rPr>
          <w:rFonts w:hint="eastAsia" w:ascii="仿宋" w:hAnsi="仿宋" w:eastAsia="仿宋" w:cs="仿宋"/>
          <w:sz w:val="24"/>
        </w:rPr>
      </w:pPr>
      <w:r>
        <w:rPr>
          <w:rFonts w:hint="eastAsia" w:ascii="仿宋" w:hAnsi="仿宋" w:eastAsia="仿宋" w:cs="仿宋"/>
          <w:sz w:val="24"/>
        </w:rPr>
        <w:t>6.2.</w:t>
      </w:r>
      <w:r>
        <w:rPr>
          <w:rFonts w:hint="eastAsia" w:ascii="仿宋" w:hAnsi="仿宋" w:eastAsia="仿宋" w:cs="仿宋"/>
          <w:sz w:val="24"/>
          <w:lang w:val="en-US" w:eastAsia="zh-CN"/>
        </w:rPr>
        <w:t>2</w:t>
      </w:r>
      <w:r>
        <w:rPr>
          <w:rFonts w:hint="eastAsia" w:ascii="仿宋" w:hAnsi="仿宋" w:eastAsia="仿宋" w:cs="仿宋"/>
          <w:sz w:val="24"/>
        </w:rPr>
        <w:t>采购人拟采购的产品属于优先采购的节能</w:t>
      </w:r>
      <w:r>
        <w:rPr>
          <w:rFonts w:hint="eastAsia" w:ascii="仿宋" w:hAnsi="仿宋" w:eastAsia="仿宋" w:cs="仿宋"/>
          <w:sz w:val="24"/>
          <w:lang w:eastAsia="zh-CN"/>
        </w:rPr>
        <w:t>、</w:t>
      </w:r>
      <w:r>
        <w:rPr>
          <w:rFonts w:hint="eastAsia" w:ascii="仿宋" w:hAnsi="仿宋" w:eastAsia="仿宋" w:cs="仿宋"/>
          <w:sz w:val="24"/>
          <w:lang w:val="en-US" w:eastAsia="zh-CN"/>
        </w:rPr>
        <w:t>环境标志产品</w:t>
      </w:r>
      <w:r>
        <w:rPr>
          <w:rFonts w:hint="eastAsia" w:ascii="仿宋" w:hAnsi="仿宋" w:eastAsia="仿宋" w:cs="仿宋"/>
          <w:sz w:val="24"/>
        </w:rPr>
        <w:t>品目清单范围的，按以下条件优先采购：</w:t>
      </w:r>
    </w:p>
    <w:p w14:paraId="040AF4CA">
      <w:pPr>
        <w:keepNext w:val="0"/>
        <w:keepLines w:val="0"/>
        <w:pageBreakBefore w:val="0"/>
        <w:widowControl w:val="0"/>
        <w:spacing w:line="480" w:lineRule="exact"/>
        <w:ind w:firstLine="480"/>
        <w:rPr>
          <w:rFonts w:hint="eastAsia" w:ascii="仿宋" w:hAnsi="仿宋" w:eastAsia="仿宋" w:cs="仿宋"/>
          <w:sz w:val="24"/>
        </w:rPr>
      </w:pPr>
      <w:r>
        <w:rPr>
          <w:rFonts w:hint="eastAsia" w:ascii="仿宋" w:hAnsi="仿宋" w:eastAsia="仿宋" w:cs="仿宋"/>
          <w:sz w:val="24"/>
        </w:rPr>
        <w:t>采用综合评分法的项目，对提供有效节能</w:t>
      </w:r>
      <w:r>
        <w:rPr>
          <w:rFonts w:hint="eastAsia" w:ascii="仿宋" w:hAnsi="仿宋" w:eastAsia="仿宋" w:cs="仿宋"/>
          <w:sz w:val="24"/>
          <w:lang w:eastAsia="zh-CN"/>
        </w:rPr>
        <w:t>、</w:t>
      </w:r>
      <w:r>
        <w:rPr>
          <w:rFonts w:hint="eastAsia" w:ascii="仿宋" w:hAnsi="仿宋" w:eastAsia="仿宋" w:cs="仿宋"/>
          <w:sz w:val="24"/>
          <w:lang w:val="en-US" w:eastAsia="zh-CN"/>
        </w:rPr>
        <w:t>环境标志产品认证</w:t>
      </w:r>
      <w:r>
        <w:rPr>
          <w:rFonts w:hint="eastAsia" w:ascii="仿宋" w:hAnsi="仿宋" w:eastAsia="仿宋" w:cs="仿宋"/>
          <w:sz w:val="24"/>
        </w:rPr>
        <w:t>证书的投标人加分。</w:t>
      </w:r>
    </w:p>
    <w:p w14:paraId="15126611">
      <w:pPr>
        <w:keepNext w:val="0"/>
        <w:keepLines w:val="0"/>
        <w:pageBreakBefore w:val="0"/>
        <w:widowControl w:val="0"/>
        <w:spacing w:line="480" w:lineRule="exact"/>
        <w:ind w:firstLine="480"/>
        <w:rPr>
          <w:rFonts w:hint="eastAsia" w:ascii="仿宋" w:hAnsi="仿宋" w:eastAsia="仿宋" w:cs="仿宋"/>
          <w:sz w:val="24"/>
        </w:rPr>
      </w:pPr>
      <w:r>
        <w:rPr>
          <w:rFonts w:hint="eastAsia" w:ascii="仿宋" w:hAnsi="仿宋" w:eastAsia="仿宋" w:cs="仿宋"/>
          <w:sz w:val="24"/>
        </w:rPr>
        <w:t>采用最低评标价法的项目，同等条件下优先推荐提供有效节能</w:t>
      </w:r>
      <w:r>
        <w:rPr>
          <w:rFonts w:hint="eastAsia" w:ascii="仿宋" w:hAnsi="仿宋" w:eastAsia="仿宋" w:cs="仿宋"/>
          <w:sz w:val="24"/>
          <w:lang w:eastAsia="zh-CN"/>
        </w:rPr>
        <w:t>、</w:t>
      </w:r>
      <w:r>
        <w:rPr>
          <w:rFonts w:hint="eastAsia" w:ascii="仿宋" w:hAnsi="仿宋" w:eastAsia="仿宋" w:cs="仿宋"/>
          <w:sz w:val="24"/>
          <w:lang w:val="en-US" w:eastAsia="zh-CN"/>
        </w:rPr>
        <w:t>环境标志产品认证</w:t>
      </w:r>
      <w:r>
        <w:rPr>
          <w:rFonts w:hint="eastAsia" w:ascii="仿宋" w:hAnsi="仿宋" w:eastAsia="仿宋" w:cs="仿宋"/>
          <w:sz w:val="24"/>
        </w:rPr>
        <w:t>证书多的投标人为中标人。</w:t>
      </w:r>
    </w:p>
    <w:p w14:paraId="2B2D0877">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6.3政府采购需求标准</w:t>
      </w:r>
    </w:p>
    <w:p w14:paraId="15E979E6">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6.3.1商品包装、快递包装政府采购需求标准（试行）</w:t>
      </w:r>
    </w:p>
    <w:p w14:paraId="62E71B2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按照财政部印发的《商品包装政府采购需求标准（试行）》《快递包装政府采购需求标准（试行）》要求执行，本项目商品包装和快递包装的具体需求详见第四章采购需求。</w:t>
      </w:r>
    </w:p>
    <w:p w14:paraId="7913E1E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6.3.2绿色数据中心政府采购需求标准（试行）</w:t>
      </w:r>
    </w:p>
    <w:p w14:paraId="4C8C624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按照财政部 生态环境部 工业和信息化部关于印发《绿色数据中心政府采购需求标准（试行）》的通知）要求执行，本项目绿色数据中心的具体需求详见第四章采购需求。</w:t>
      </w:r>
    </w:p>
    <w:p w14:paraId="109957B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6.3.3绿色建材政府采购需求标准</w:t>
      </w:r>
    </w:p>
    <w:p w14:paraId="4B1B8FF6">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179B7F2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339472D">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7、招标文件的澄清或修改</w:t>
      </w:r>
    </w:p>
    <w:p w14:paraId="5238ECB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508F21C1">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7.2招标文件的澄清、修改将在原公告媒体上发布更正公告，澄清、修改文件均作为招标文件的组成部分，并对投标人具有约束力。</w:t>
      </w:r>
    </w:p>
    <w:p w14:paraId="4B677BF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7.3投标人应及时登录“苏采云”系统获取澄清答疑文件（修改后的招标文件），如投标人未能及时下载澄清答疑文件，造成的相关责任由投标人承担。</w:t>
      </w:r>
    </w:p>
    <w:p w14:paraId="424F62EA">
      <w:pPr>
        <w:pStyle w:val="77"/>
        <w:spacing w:before="0" w:after="0" w:line="480" w:lineRule="exact"/>
        <w:ind w:firstLine="321"/>
        <w:rPr>
          <w:rFonts w:hint="eastAsia" w:ascii="仿宋" w:hAnsi="仿宋" w:eastAsia="仿宋" w:cs="仿宋"/>
          <w:bCs/>
          <w:color w:val="000000"/>
          <w:szCs w:val="22"/>
        </w:rPr>
      </w:pPr>
      <w:bookmarkStart w:id="80" w:name="_Toc81575194"/>
      <w:bookmarkStart w:id="81" w:name="_Toc5574"/>
      <w:bookmarkStart w:id="82" w:name="_Toc11461"/>
      <w:bookmarkStart w:id="83" w:name="_Toc81575157"/>
      <w:r>
        <w:rPr>
          <w:rFonts w:hint="eastAsia" w:ascii="仿宋" w:hAnsi="仿宋" w:eastAsia="仿宋" w:cs="仿宋"/>
          <w:bCs/>
          <w:color w:val="000000"/>
          <w:szCs w:val="22"/>
        </w:rPr>
        <w:t>三、投标文件的编制</w:t>
      </w:r>
      <w:bookmarkEnd w:id="80"/>
      <w:bookmarkEnd w:id="81"/>
      <w:bookmarkEnd w:id="82"/>
      <w:bookmarkEnd w:id="83"/>
    </w:p>
    <w:p w14:paraId="3E10DCC3">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8、投标文件的编制要求</w:t>
      </w:r>
    </w:p>
    <w:p w14:paraId="285064E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8.1投标人应仔细阅读“招标文件”的所有内容，保证所提供的全部资料的真实性、完整性及有效性，以使其投标对“招标文件”作出实质性响应。</w:t>
      </w:r>
    </w:p>
    <w:p w14:paraId="6BAF587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8.2投标文件要求加盖电子签章之处，应按要求加盖投标人数字证书的电子签章。其他需要盖章但未明确要求电子签章的，投标人可按要求加盖公章后上传材料电子件或直接加盖电子签章。</w:t>
      </w:r>
    </w:p>
    <w:p w14:paraId="6478F1B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7B9EAFB3">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9、投标文件构成</w:t>
      </w:r>
    </w:p>
    <w:p w14:paraId="6831CC19">
      <w:pPr>
        <w:spacing w:line="480" w:lineRule="exact"/>
        <w:ind w:firstLine="480"/>
        <w:rPr>
          <w:rFonts w:hint="eastAsia" w:ascii="仿宋" w:hAnsi="仿宋" w:eastAsia="仿宋" w:cs="仿宋"/>
          <w:bCs/>
          <w:color w:val="000000"/>
          <w:sz w:val="24"/>
        </w:rPr>
      </w:pPr>
      <w:r>
        <w:rPr>
          <w:rFonts w:hint="eastAsia" w:ascii="仿宋" w:hAnsi="仿宋" w:eastAsia="仿宋" w:cs="仿宋"/>
          <w:color w:val="000000"/>
          <w:sz w:val="24"/>
        </w:rPr>
        <w:t>9.1投标文件包括资格证明文件、开标一览表、分项报价表、响应及偏离表、投标函、其他证明文件等部分。</w:t>
      </w:r>
      <w:r>
        <w:rPr>
          <w:rFonts w:hint="eastAsia" w:ascii="仿宋" w:hAnsi="仿宋" w:eastAsia="仿宋" w:cs="仿宋"/>
          <w:bCs/>
          <w:color w:val="000000"/>
          <w:sz w:val="24"/>
        </w:rPr>
        <w:t>投标文件构成资料为非中文时应提供中文译版。</w:t>
      </w:r>
      <w:bookmarkStart w:id="84" w:name="EBc50e2bb832bb43068403b10c1cce6141"/>
    </w:p>
    <w:p w14:paraId="20AE02C8">
      <w:pPr>
        <w:spacing w:line="480" w:lineRule="exact"/>
        <w:ind w:firstLine="482"/>
        <w:rPr>
          <w:rFonts w:hint="eastAsia" w:ascii="仿宋" w:hAnsi="仿宋" w:eastAsia="仿宋" w:cs="仿宋"/>
          <w:bCs/>
          <w:color w:val="000000"/>
          <w:sz w:val="24"/>
        </w:rPr>
      </w:pPr>
      <w:r>
        <w:rPr>
          <w:rFonts w:hint="eastAsia" w:ascii="仿宋" w:hAnsi="仿宋" w:eastAsia="仿宋" w:cs="仿宋"/>
          <w:b/>
          <w:color w:val="000000"/>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p>
    <w:p w14:paraId="0F2652E3">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10、投标报价</w:t>
      </w:r>
    </w:p>
    <w:p w14:paraId="2C33026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10.1报价为一次报价，本项目不接受备选的投标方案或有选择的报价，只允许有一个报价。</w:t>
      </w:r>
    </w:p>
    <w:p w14:paraId="44B29A7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10.2报价注意事项：投标价格一律以人民币计算，以元为单位标注，最多保留至小数点后两位，招标文件有规定的按招标文件执行。</w:t>
      </w:r>
    </w:p>
    <w:p w14:paraId="6BE2F8F1">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11、投标保证金</w:t>
      </w:r>
      <w:bookmarkStart w:id="85" w:name="EB183a0bf075204c54a4ff090f1aecaaa7"/>
    </w:p>
    <w:p w14:paraId="06A6DD2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本项目不收取投标保证金。</w:t>
      </w:r>
      <w:bookmarkEnd w:id="85"/>
    </w:p>
    <w:p w14:paraId="749EA764">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12、投标有效期</w:t>
      </w:r>
    </w:p>
    <w:p w14:paraId="36E7742D">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12.1在投标人须知前附表规定的投标有效期内，投标有效期从提交投标文件的截止之日起算。投标有效期比规定短的将被视为未实质性响应招标文件。</w:t>
      </w:r>
    </w:p>
    <w:p w14:paraId="4221F1F7">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54C8C076">
      <w:pPr>
        <w:pStyle w:val="77"/>
        <w:spacing w:before="0" w:after="0" w:line="480" w:lineRule="exact"/>
        <w:ind w:firstLine="321"/>
        <w:rPr>
          <w:rFonts w:hint="eastAsia" w:ascii="仿宋" w:hAnsi="仿宋" w:eastAsia="仿宋" w:cs="仿宋"/>
          <w:bCs/>
          <w:color w:val="000000"/>
          <w:szCs w:val="22"/>
        </w:rPr>
      </w:pPr>
      <w:bookmarkStart w:id="86" w:name="_Toc2773"/>
      <w:bookmarkStart w:id="87" w:name="_Toc81575195"/>
      <w:bookmarkStart w:id="88" w:name="_Toc23443"/>
      <w:bookmarkStart w:id="89" w:name="_Toc81575158"/>
      <w:r>
        <w:rPr>
          <w:rFonts w:hint="eastAsia" w:ascii="仿宋" w:hAnsi="仿宋" w:eastAsia="仿宋" w:cs="仿宋"/>
          <w:bCs/>
          <w:color w:val="000000"/>
          <w:szCs w:val="22"/>
        </w:rPr>
        <w:t>四、投标文件的提交</w:t>
      </w:r>
      <w:bookmarkEnd w:id="86"/>
      <w:bookmarkEnd w:id="87"/>
      <w:bookmarkEnd w:id="88"/>
      <w:bookmarkEnd w:id="89"/>
    </w:p>
    <w:p w14:paraId="59FFF602">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13、投标文件的提交</w:t>
      </w:r>
    </w:p>
    <w:p w14:paraId="26573EB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13.1投标人应在招标文件规定的投标截止时间前提交投标文件并将电子投标文件上传至“苏采云”系统对应的本次开标采购包中。除招标文件另有规定外，投标人所提交的投标文件不予退还。</w:t>
      </w:r>
    </w:p>
    <w:p w14:paraId="4B440B4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13.2投标文件的修改和撤回：在投标截止时间前，投标人可以撤回或重新提交投标文件。投标文件以最终完成上传的为准。</w:t>
      </w:r>
    </w:p>
    <w:p w14:paraId="76D3A99D">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13.3采购人、采购代理机构可以通过修改招标文件酌情延长投标文件接收截止日期，在此情况下，投标人的所有权利和义务以及投标人受制约的截止日期均应以延长后新的截止日期为准。</w:t>
      </w:r>
    </w:p>
    <w:p w14:paraId="5A66880D">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14、投标文件被拒绝接收的情形</w:t>
      </w:r>
    </w:p>
    <w:p w14:paraId="0FC4F91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在招标文件规定的投标截止时间后上传的投标文件或对投标报价或其他实质性内容修正的文件。</w:t>
      </w:r>
    </w:p>
    <w:p w14:paraId="61B5D113">
      <w:pPr>
        <w:pStyle w:val="77"/>
        <w:spacing w:before="0" w:after="0" w:line="520" w:lineRule="exact"/>
        <w:ind w:firstLine="321"/>
        <w:rPr>
          <w:rFonts w:hint="eastAsia" w:ascii="仿宋" w:hAnsi="仿宋" w:eastAsia="仿宋" w:cs="仿宋"/>
          <w:bCs/>
          <w:color w:val="000000"/>
          <w:szCs w:val="22"/>
        </w:rPr>
      </w:pPr>
      <w:bookmarkStart w:id="90" w:name="_Toc81575160"/>
      <w:bookmarkStart w:id="91" w:name="_Toc81575197"/>
      <w:bookmarkStart w:id="92" w:name="_Toc20026"/>
      <w:bookmarkStart w:id="93" w:name="_Toc959"/>
      <w:r>
        <w:rPr>
          <w:rFonts w:hint="eastAsia" w:ascii="仿宋" w:hAnsi="仿宋" w:eastAsia="仿宋" w:cs="仿宋"/>
          <w:bCs/>
          <w:color w:val="000000"/>
          <w:szCs w:val="22"/>
        </w:rPr>
        <w:t>五、开标、评标程序</w:t>
      </w:r>
      <w:bookmarkEnd w:id="90"/>
      <w:bookmarkEnd w:id="91"/>
      <w:bookmarkEnd w:id="92"/>
      <w:bookmarkEnd w:id="93"/>
    </w:p>
    <w:p w14:paraId="4B88FF25">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15、开标</w:t>
      </w:r>
    </w:p>
    <w:p w14:paraId="41412D29">
      <w:pPr>
        <w:spacing w:line="480" w:lineRule="exact"/>
        <w:ind w:firstLine="480"/>
        <w:rPr>
          <w:rFonts w:hint="eastAsia" w:ascii="仿宋" w:hAnsi="仿宋" w:eastAsia="仿宋" w:cs="仿宋"/>
          <w:color w:val="auto"/>
          <w:sz w:val="24"/>
        </w:rPr>
      </w:pPr>
      <w:r>
        <w:rPr>
          <w:rFonts w:hint="eastAsia" w:ascii="仿宋" w:hAnsi="仿宋" w:eastAsia="仿宋" w:cs="仿宋"/>
          <w:color w:val="000000"/>
          <w:sz w:val="24"/>
        </w:rPr>
        <w:t>15.1采购代理机构将在招标公告中规定的时间和地点组织公开开标。</w:t>
      </w:r>
      <w:r>
        <w:rPr>
          <w:rFonts w:hint="eastAsia" w:ascii="仿宋" w:hAnsi="仿宋" w:eastAsia="仿宋" w:cs="仿宋"/>
          <w:color w:val="auto"/>
          <w:sz w:val="24"/>
        </w:rPr>
        <w:t>投标人参加开标活动，在“苏采云”系统规定的时间内对投标文件解密。</w:t>
      </w:r>
    </w:p>
    <w:p w14:paraId="723B11D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15.2开标仪式由采购代理机构组织。“苏采云”系统将自动对项目进行开标，并宣布各投标人名称和投标价格。</w:t>
      </w:r>
    </w:p>
    <w:p w14:paraId="74A7C841">
      <w:pPr>
        <w:spacing w:line="480" w:lineRule="exact"/>
        <w:ind w:firstLine="482"/>
        <w:rPr>
          <w:rFonts w:hint="eastAsia" w:ascii="仿宋" w:hAnsi="仿宋" w:eastAsia="仿宋" w:cs="仿宋"/>
          <w:b/>
          <w:bCs/>
          <w:color w:val="000000"/>
          <w:sz w:val="24"/>
        </w:rPr>
      </w:pPr>
      <w:r>
        <w:rPr>
          <w:rFonts w:hint="eastAsia" w:ascii="仿宋" w:hAnsi="仿宋" w:eastAsia="仿宋" w:cs="仿宋"/>
          <w:b/>
          <w:bCs/>
          <w:color w:val="000000"/>
          <w:sz w:val="24"/>
        </w:rPr>
        <w:t>15.3投标人用于解密的CA证书应为该投标文件生成加密、上传的同一把CA证书。投标人应登录“苏采云”系统进入“开标大厅”，在系统约定时间内使用CA证书解密，未成功解密的视为放弃投标。</w:t>
      </w:r>
    </w:p>
    <w:p w14:paraId="3029594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15.4投标人如果对开标过程和开标记录有疑义，应</w:t>
      </w:r>
      <w:r>
        <w:rPr>
          <w:rFonts w:hint="eastAsia" w:ascii="仿宋" w:hAnsi="仿宋" w:eastAsia="仿宋" w:cs="仿宋"/>
          <w:color w:val="000000"/>
          <w:sz w:val="24"/>
          <w:lang w:val="en-US" w:eastAsia="zh-CN"/>
        </w:rPr>
        <w:t>按</w:t>
      </w:r>
      <w:r>
        <w:rPr>
          <w:rFonts w:hint="eastAsia" w:ascii="仿宋" w:hAnsi="仿宋" w:eastAsia="仿宋" w:cs="仿宋"/>
          <w:color w:val="000000"/>
          <w:sz w:val="24"/>
        </w:rPr>
        <w:t>规定提出。如“苏采云”系统中《开标记录表》宣布后5分钟内未提出的，视同认可开标结果。</w:t>
      </w:r>
    </w:p>
    <w:p w14:paraId="391082E7">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15.5投标人在开、评标全过程中应保持通讯畅通，及时登录“苏采云”系统查阅、答复相关信息。</w:t>
      </w:r>
    </w:p>
    <w:p w14:paraId="043C1ED7">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16、评标委员会</w:t>
      </w:r>
    </w:p>
    <w:p w14:paraId="0D37897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484DF884">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17、评标程序</w:t>
      </w:r>
    </w:p>
    <w:p w14:paraId="7933C46D">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17.1资格审查</w:t>
      </w:r>
      <w:bookmarkStart w:id="94" w:name="EBa9c0a2c9e523494487594c65b2a92370"/>
    </w:p>
    <w:p w14:paraId="4394E12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开标结束后，采购人依法根据招标文件的规定对投标人的资格证明文件等进行审查。</w:t>
      </w:r>
      <w:bookmarkEnd w:id="94"/>
    </w:p>
    <w:p w14:paraId="2DADE65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17.2符合性检查</w:t>
      </w:r>
    </w:p>
    <w:p w14:paraId="046DD9C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17.2.1依据招标文件的规定，由评标委员会从投标文件的有效性、完整性和对招标文件的响应程度进行审查，以确定是否对招标文件的实质性要求作出响应。</w:t>
      </w:r>
    </w:p>
    <w:p w14:paraId="12FD65E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仿宋" w:hAnsi="仿宋" w:eastAsia="仿宋" w:cs="仿宋"/>
          <w:color w:val="000000"/>
          <w:sz w:val="24"/>
        </w:rPr>
        <w:t>所谓重大偏离是指投标人投标文件中所述设备质量、技术规格、数量、交货期、服务等明显不能满足招标文件要求。</w:t>
      </w:r>
      <w:bookmarkEnd w:id="95"/>
      <w:r>
        <w:rPr>
          <w:rFonts w:hint="eastAsia" w:ascii="仿宋" w:hAnsi="仿宋" w:eastAsia="仿宋" w:cs="仿宋"/>
          <w:color w:val="000000"/>
          <w:sz w:val="24"/>
        </w:rPr>
        <w:t>重大偏离的认定需经过评标委员会以少数服从多数的原则作出结论。</w:t>
      </w:r>
    </w:p>
    <w:p w14:paraId="496E9F4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17.3未通过资格审查或符合性审查的投标人，</w:t>
      </w:r>
      <w:r>
        <w:rPr>
          <w:rFonts w:hint="eastAsia" w:ascii="仿宋" w:hAnsi="仿宋" w:eastAsia="仿宋" w:cs="仿宋"/>
          <w:color w:val="000000"/>
          <w:sz w:val="24"/>
          <w:lang w:val="en-US" w:eastAsia="zh-CN"/>
        </w:rPr>
        <w:t>评标委员会</w:t>
      </w:r>
      <w:r>
        <w:rPr>
          <w:rFonts w:hint="eastAsia" w:ascii="仿宋" w:hAnsi="仿宋" w:eastAsia="仿宋" w:cs="仿宋"/>
          <w:color w:val="000000"/>
          <w:sz w:val="24"/>
        </w:rPr>
        <w:t>将在“苏采云”系统中告知未通过资格审查或符合性审查的原因，评标结束后，采购代理机构将不再告知未通过资格审查或符合性审查的原因。</w:t>
      </w:r>
    </w:p>
    <w:p w14:paraId="5DD2AB3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17.4评标委员会判断投标文件的响应性，仅基于投标文件本身而不靠外部证据。对非实质性响应的投标文件，投标人不能通过修正或撤销不符之处，而使其成为实质性响应。</w:t>
      </w:r>
    </w:p>
    <w:p w14:paraId="77460306">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17.5相同品牌产品投标</w:t>
      </w:r>
    </w:p>
    <w:p w14:paraId="75D6F4E6">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890AE31">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5330454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17.5.3非单一产品采购项目，采购人确定核心产品，并在招标文件中载明。多家投标人提供的核心产品品牌相同的，按前两款规定处理。</w:t>
      </w:r>
    </w:p>
    <w:p w14:paraId="5025FF5D">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17.6有关问题的澄清</w:t>
      </w:r>
    </w:p>
    <w:p w14:paraId="3236DED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38F4D341">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17.6.2投标文件报价出现前后不一致的，除招标文件另有规定外，按照下列规定修正：</w:t>
      </w:r>
    </w:p>
    <w:p w14:paraId="76686FF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①投标文件中开标一览表（报价表）内容与投标文件中相应内容不一致的，以开标一览表（报价表）为准；</w:t>
      </w:r>
    </w:p>
    <w:p w14:paraId="5D131D1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②大写金额和小写金额不一致的，以大写金额为准；</w:t>
      </w:r>
    </w:p>
    <w:p w14:paraId="3DD2171F">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③单价金额小数点或者百分比有明显错位的，以开标一览表的总价为准，并修改单价；</w:t>
      </w:r>
    </w:p>
    <w:p w14:paraId="5C32D34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④总价金额与按单价汇总金额不一致的，以单价金额计算结果为准。</w:t>
      </w:r>
    </w:p>
    <w:p w14:paraId="010EB42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同时出现两种以上不一致的，按照前款规定的顺序修正。</w:t>
      </w:r>
    </w:p>
    <w:p w14:paraId="4E775FC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17.6.3评标委员会将按上述修正错误的方法调整投标文件中的投标报价，并通过“苏采云”系统告知投标人，调整后的价格应对投标人具有约束力。投标人不接受修正后的价格，其投标将被拒绝。</w:t>
      </w:r>
    </w:p>
    <w:p w14:paraId="6F3F547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评标过程中，不得去掉报价中的最高报价和最低报价。</w:t>
      </w:r>
    </w:p>
    <w:p w14:paraId="2857579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17.7异常低价投标审查</w:t>
      </w:r>
    </w:p>
    <w:p w14:paraId="0B524AD1">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17.7.1评标过程中出现下列情形之一的，评标委员会应当启动异常低价投标审查程序：</w:t>
      </w:r>
    </w:p>
    <w:p w14:paraId="67E1681D">
      <w:pPr>
        <w:spacing w:line="480" w:lineRule="exact"/>
        <w:ind w:firstLine="48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 (1)投标（响应）报价低于全部通过符合性审查供应商投标（响应）报价平均值50%的，即投标（响应）报价&lt;全部通过符合性审查供应商投标（响应）报价平均值×50%；</w:t>
      </w:r>
    </w:p>
    <w:p w14:paraId="1C491011">
      <w:pPr>
        <w:spacing w:line="480" w:lineRule="exact"/>
        <w:ind w:firstLine="48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(2)投标（响应）报价低于通过符合性审查的次低报价供应商投标（响应）报价50%的，即投标（响应）报价&lt;通过符合性审查的次低报价供应商投标（响应）报价×50%；</w:t>
      </w:r>
    </w:p>
    <w:p w14:paraId="5208A63A">
      <w:pPr>
        <w:spacing w:line="480" w:lineRule="exact"/>
        <w:ind w:firstLine="48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(3)投标（响应）报价低于采购项目最高限价45%的，即投标（响应）报价&lt;采购项目最高限价×45%；</w:t>
      </w:r>
    </w:p>
    <w:p w14:paraId="39EE0448">
      <w:pPr>
        <w:spacing w:line="480" w:lineRule="exact"/>
        <w:ind w:firstLine="48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(4)评审委员会基于专业判断，认为供应商报价过低，有可能影响产品质量或者不能诚信履约的其他情形。  </w:t>
      </w:r>
    </w:p>
    <w:p w14:paraId="19343C8C">
      <w:pPr>
        <w:spacing w:line="480" w:lineRule="exact"/>
        <w:ind w:firstLine="48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17.7.2评审委员会启动异常低价投标（响应）审查后，属于前述第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p>
    <w:p w14:paraId="4BADDE8E">
      <w:pPr>
        <w:spacing w:line="480" w:lineRule="exact"/>
        <w:ind w:firstLine="48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p>
    <w:p w14:paraId="61798D3F">
      <w:pPr>
        <w:spacing w:line="480" w:lineRule="exact"/>
        <w:ind w:firstLine="48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17.7.3供应商在开、评标全过程中应随时保持系统在线或保持通讯畅通，及时在“苏采云”系统查阅、答复相关信息。 </w:t>
      </w:r>
    </w:p>
    <w:p w14:paraId="4304F29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17.8推荐中标候选人</w:t>
      </w:r>
    </w:p>
    <w:p w14:paraId="54EE7A8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评标委员会按照招标文件中规定的评标方法和标准推荐中标候选人。</w:t>
      </w:r>
    </w:p>
    <w:p w14:paraId="2D6EA23C">
      <w:pPr>
        <w:pStyle w:val="77"/>
        <w:spacing w:before="0" w:after="0" w:line="480" w:lineRule="exact"/>
        <w:ind w:firstLine="321"/>
        <w:rPr>
          <w:rFonts w:hint="eastAsia" w:ascii="仿宋" w:hAnsi="仿宋" w:eastAsia="仿宋" w:cs="仿宋"/>
          <w:bCs/>
          <w:color w:val="000000"/>
          <w:szCs w:val="22"/>
        </w:rPr>
      </w:pPr>
      <w:bookmarkStart w:id="96" w:name="_Toc81575196"/>
      <w:bookmarkStart w:id="97" w:name="_Toc8712"/>
      <w:bookmarkStart w:id="98" w:name="_Toc8841"/>
      <w:bookmarkStart w:id="99" w:name="_Toc81575159"/>
      <w:r>
        <w:rPr>
          <w:rFonts w:hint="eastAsia" w:ascii="仿宋" w:hAnsi="仿宋" w:eastAsia="仿宋" w:cs="仿宋"/>
          <w:bCs/>
          <w:color w:val="000000"/>
          <w:szCs w:val="22"/>
        </w:rPr>
        <w:t>六、无效投标、废标、串通投标</w:t>
      </w:r>
      <w:bookmarkEnd w:id="96"/>
      <w:bookmarkEnd w:id="97"/>
      <w:bookmarkEnd w:id="98"/>
      <w:bookmarkEnd w:id="99"/>
      <w:r>
        <w:rPr>
          <w:rFonts w:hint="eastAsia" w:ascii="仿宋" w:hAnsi="仿宋" w:eastAsia="仿宋" w:cs="仿宋"/>
          <w:bCs/>
          <w:color w:val="000000"/>
          <w:szCs w:val="22"/>
        </w:rPr>
        <w:t>及取消中标候选人资格情形</w:t>
      </w:r>
    </w:p>
    <w:p w14:paraId="481FBDD9">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18、无效投标情形</w:t>
      </w:r>
    </w:p>
    <w:p w14:paraId="3DACEE7A">
      <w:pPr>
        <w:spacing w:line="480" w:lineRule="exact"/>
        <w:ind w:firstLine="480"/>
        <w:rPr>
          <w:rFonts w:hint="eastAsia" w:ascii="仿宋" w:hAnsi="仿宋" w:eastAsia="仿宋" w:cs="仿宋"/>
          <w:strike/>
          <w:color w:val="000000"/>
          <w:sz w:val="24"/>
        </w:rPr>
      </w:pPr>
      <w:r>
        <w:rPr>
          <w:rFonts w:hint="eastAsia" w:ascii="仿宋" w:hAnsi="仿宋" w:eastAsia="仿宋" w:cs="仿宋"/>
          <w:color w:val="000000"/>
          <w:sz w:val="24"/>
        </w:rPr>
        <w:t>18.1投标人同一采购包提交两个（含两个）以上不同的投标报价的。</w:t>
      </w:r>
    </w:p>
    <w:p w14:paraId="7E43039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18.2投标人不符合招标文件规定资格要求的或未按规定提交资质证件的。</w:t>
      </w:r>
    </w:p>
    <w:p w14:paraId="0E93126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18.3投标人的报价超过了采购预算或最高限价的。</w:t>
      </w:r>
    </w:p>
    <w:p w14:paraId="6EF96E6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18.4投标文件未通过符合性审查的。</w:t>
      </w:r>
    </w:p>
    <w:p w14:paraId="004D6E8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18.5投标文件出现重大偏离，不符合招标文件中规定的实质性要求的（★部分为实质性要求）。</w:t>
      </w:r>
    </w:p>
    <w:p w14:paraId="1C87EBB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rPr>
      </w:pPr>
      <w:r>
        <w:rPr>
          <w:rFonts w:hint="eastAsia" w:ascii="仿宋" w:hAnsi="仿宋" w:eastAsia="仿宋" w:cs="仿宋"/>
          <w:color w:val="000000"/>
          <w:sz w:val="24"/>
        </w:rPr>
        <w:t xml:space="preserve">   18.6评标委员会启动异常低价投标审查后，投标人不提供书面说明、证明材料，或者评标委员会认为投标人提供的书面说明、证明材料不能证明其报价合理性的。</w:t>
      </w:r>
    </w:p>
    <w:p w14:paraId="16672EBF">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18.7投标文件未按照招标文件要求加盖CA电子公章的。</w:t>
      </w:r>
    </w:p>
    <w:p w14:paraId="7C1077F4">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18.8投标人有本招标文件规定的恶意串通投标情形的。</w:t>
      </w:r>
    </w:p>
    <w:p w14:paraId="3053BEA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18.9投标文件含有采购人不能接受的附加条件的。</w:t>
      </w:r>
    </w:p>
    <w:p w14:paraId="501E27E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18.10其他法律、法规及本招标文件规定的属无效投标的情形。</w:t>
      </w:r>
    </w:p>
    <w:p w14:paraId="38F1418F">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19、废标情形</w:t>
      </w:r>
    </w:p>
    <w:p w14:paraId="2700937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19.1符合专业条件的投标人或者对招标文件作实质响应的投标人不足三家的。</w:t>
      </w:r>
    </w:p>
    <w:p w14:paraId="5A19A9AF">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19.2出现影响采购公正的违法、违规行为的。</w:t>
      </w:r>
    </w:p>
    <w:p w14:paraId="5F02960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19.3因重大变故，采购任务取消的。</w:t>
      </w:r>
    </w:p>
    <w:p w14:paraId="2BEDBE2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19.4评标委员会认定招标文件存在歧义、重大缺陷导致评审工作无法进行的。</w:t>
      </w:r>
    </w:p>
    <w:p w14:paraId="56EC08F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19.5在“苏采云”系统规定时间内成功解密电子投标文件的投标人不足3家的。</w:t>
      </w:r>
    </w:p>
    <w:p w14:paraId="13EB4401">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20、投标人不足三家情形处理</w:t>
      </w:r>
    </w:p>
    <w:p w14:paraId="11A2E0F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投标截止后投标人不足3家或者通过资格审查或符合性审查的投标人不足3家的，除采购任务取消情形外，按财政部令第87号第四十三条条款进行处理。</w:t>
      </w:r>
    </w:p>
    <w:p w14:paraId="68CC146A">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21、串通投标情形</w:t>
      </w:r>
    </w:p>
    <w:p w14:paraId="5FD5523E">
      <w:pPr>
        <w:spacing w:line="500" w:lineRule="exact"/>
        <w:ind w:firstLine="480"/>
        <w:rPr>
          <w:rFonts w:hint="eastAsia" w:ascii="仿宋" w:hAnsi="仿宋" w:eastAsia="仿宋" w:cs="仿宋"/>
          <w:color w:val="000000"/>
          <w:sz w:val="24"/>
        </w:rPr>
      </w:pPr>
      <w:r>
        <w:rPr>
          <w:rFonts w:hint="eastAsia" w:ascii="仿宋" w:hAnsi="仿宋" w:eastAsia="仿宋" w:cs="仿宋"/>
          <w:color w:val="000000"/>
          <w:sz w:val="24"/>
        </w:rPr>
        <w:t>有下列情形之一的，属于恶意串通投标：</w:t>
      </w:r>
    </w:p>
    <w:p w14:paraId="5DDEB20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21.1供应商直接或间接从采购人或采购代理机构处获得其他供应商的投标情况，并修改其投标文件；</w:t>
      </w:r>
    </w:p>
    <w:p w14:paraId="0801A3A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21.2评审活动开始前供应商直接或间接从采购人或采购代理机构处获得评标委员会组成人员情况；</w:t>
      </w:r>
    </w:p>
    <w:p w14:paraId="6BDBCF0D">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21.3供应商接受采购人或采购代理机构授意撤换、修改投标文件；</w:t>
      </w:r>
    </w:p>
    <w:p w14:paraId="2166B2F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21.4供应商之间协商投标报价、技术方案等投标文件实质性内容；</w:t>
      </w:r>
    </w:p>
    <w:p w14:paraId="117836D1">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21.5属于同一集团、协会、商会等组织成员的供应商按照该组织要求协同投标；</w:t>
      </w:r>
    </w:p>
    <w:p w14:paraId="06F208D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21.6供应商之间事先约定由某一特定供应商中标、成交；</w:t>
      </w:r>
    </w:p>
    <w:p w14:paraId="0985BF54">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21.7供应商之间商定部分供应商放弃投标或者放弃中标、成交；</w:t>
      </w:r>
    </w:p>
    <w:p w14:paraId="17B826CA">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21.8供应商与采购人或采购代理机构之间、供应商相互之间为谋求特定供应商中标成交或者排斥其他供应商的其他串通行为；</w:t>
      </w:r>
    </w:p>
    <w:p w14:paraId="1197C707">
      <w:pPr>
        <w:spacing w:line="500" w:lineRule="exact"/>
        <w:ind w:firstLine="482"/>
        <w:rPr>
          <w:rFonts w:hint="eastAsia" w:ascii="仿宋" w:hAnsi="仿宋" w:eastAsia="仿宋" w:cs="仿宋"/>
          <w:color w:val="000000"/>
          <w:sz w:val="24"/>
        </w:rPr>
      </w:pPr>
      <w:r>
        <w:rPr>
          <w:rFonts w:hint="eastAsia" w:ascii="仿宋" w:hAnsi="仿宋" w:eastAsia="仿宋" w:cs="仿宋"/>
          <w:color w:val="000000"/>
          <w:sz w:val="24"/>
        </w:rPr>
        <w:t>有下列情形之一的，视为投标人串通投标，其投标无效：</w:t>
      </w:r>
    </w:p>
    <w:p w14:paraId="3313CF0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21.9不同投标人的投标文件由同一单位或者个人编制；</w:t>
      </w:r>
    </w:p>
    <w:p w14:paraId="5A6A9E96">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21.10不同投标人委托同一单位或者个人办理投标事宜；</w:t>
      </w:r>
    </w:p>
    <w:p w14:paraId="69C1050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21.11不同投标人的投标文件载明的项目管理成员或者联系人员为同一人；</w:t>
      </w:r>
    </w:p>
    <w:p w14:paraId="2E60725D">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21.12不同投标人的投标文件异常一致或者投标报价呈规律性差异；</w:t>
      </w:r>
    </w:p>
    <w:p w14:paraId="539AC267">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21.13不同投标人的投标文件相互混装；</w:t>
      </w:r>
    </w:p>
    <w:p w14:paraId="4FD2A7F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21.14不同投标人的投标保证金从同一单位或者个人的账户转出。</w:t>
      </w:r>
    </w:p>
    <w:p w14:paraId="4CE76CEA">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22、</w:t>
      </w:r>
      <w:bookmarkStart w:id="100" w:name="OLE_LINK4"/>
      <w:r>
        <w:rPr>
          <w:rFonts w:hint="eastAsia" w:ascii="仿宋" w:hAnsi="仿宋" w:eastAsia="仿宋" w:cs="仿宋"/>
          <w:b/>
          <w:color w:val="000000"/>
          <w:sz w:val="24"/>
        </w:rPr>
        <w:t>取消中标候选人资格情形</w:t>
      </w:r>
      <w:bookmarkEnd w:id="100"/>
    </w:p>
    <w:p w14:paraId="7A759B27">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22.1提供虚假材料谋取中标的；</w:t>
      </w:r>
    </w:p>
    <w:p w14:paraId="767DE2E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22.2采取不正当手段诋毁、排挤其他投标人的；</w:t>
      </w:r>
    </w:p>
    <w:p w14:paraId="05E38B21">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22.3与采购人、其他投标人或者采购代理机构恶意串通的；</w:t>
      </w:r>
    </w:p>
    <w:p w14:paraId="15422B9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22.4向采购人、采购代理机构行贿或者提供其他不正当利益的；</w:t>
      </w:r>
    </w:p>
    <w:p w14:paraId="4A863DFF">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22.5未在规定时间内与采购人签订采购合同的；</w:t>
      </w:r>
    </w:p>
    <w:p w14:paraId="0B1BA194">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22.6法律、法规规定的其它情况。</w:t>
      </w:r>
      <w:bookmarkStart w:id="101" w:name="_Toc81575161"/>
      <w:bookmarkStart w:id="102" w:name="_Toc2391"/>
      <w:bookmarkStart w:id="103" w:name="_Toc81575198"/>
      <w:bookmarkStart w:id="104" w:name="_Toc6494"/>
    </w:p>
    <w:p w14:paraId="4BBAB6DE">
      <w:pPr>
        <w:tabs>
          <w:tab w:val="center" w:pos="4153"/>
        </w:tabs>
        <w:spacing w:line="480" w:lineRule="exact"/>
        <w:ind w:firstLine="321"/>
        <w:outlineLvl w:val="1"/>
        <w:rPr>
          <w:rFonts w:hint="eastAsia" w:ascii="仿宋" w:hAnsi="仿宋" w:eastAsia="仿宋" w:cs="仿宋"/>
          <w:b/>
          <w:bCs/>
          <w:color w:val="000000"/>
          <w:sz w:val="32"/>
          <w:lang w:eastAsia="zh-CN"/>
        </w:rPr>
      </w:pPr>
      <w:r>
        <w:rPr>
          <w:rFonts w:hint="eastAsia" w:ascii="仿宋" w:hAnsi="仿宋" w:eastAsia="仿宋" w:cs="仿宋"/>
          <w:b/>
          <w:bCs/>
          <w:color w:val="000000"/>
          <w:sz w:val="32"/>
        </w:rPr>
        <w:t>七、中标及合同签订</w:t>
      </w:r>
      <w:bookmarkEnd w:id="101"/>
      <w:bookmarkEnd w:id="102"/>
      <w:bookmarkEnd w:id="103"/>
      <w:bookmarkEnd w:id="104"/>
      <w:r>
        <w:rPr>
          <w:rFonts w:hint="eastAsia" w:ascii="仿宋" w:hAnsi="仿宋" w:eastAsia="仿宋" w:cs="仿宋"/>
          <w:b/>
          <w:bCs/>
          <w:color w:val="000000"/>
          <w:sz w:val="32"/>
          <w:lang w:eastAsia="zh-CN"/>
        </w:rPr>
        <w:tab/>
      </w:r>
    </w:p>
    <w:p w14:paraId="35DDB592">
      <w:pPr>
        <w:spacing w:line="500" w:lineRule="exact"/>
        <w:ind w:firstLine="482"/>
        <w:rPr>
          <w:rFonts w:hint="eastAsia" w:ascii="仿宋" w:hAnsi="仿宋" w:eastAsia="仿宋" w:cs="仿宋"/>
          <w:b/>
          <w:color w:val="000000"/>
          <w:sz w:val="24"/>
        </w:rPr>
      </w:pPr>
      <w:r>
        <w:rPr>
          <w:rFonts w:hint="eastAsia" w:ascii="仿宋" w:hAnsi="仿宋" w:eastAsia="仿宋" w:cs="仿宋"/>
          <w:b/>
          <w:color w:val="000000"/>
          <w:sz w:val="24"/>
        </w:rPr>
        <w:t>23、确定中标人</w:t>
      </w:r>
    </w:p>
    <w:p w14:paraId="5143048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23.1采购人应当自收到评审报告之日起5个工作日内在评审报告推荐的中标候选人中按顺序确定中标人。</w:t>
      </w:r>
    </w:p>
    <w:p w14:paraId="7F8E9F3D">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23.2中标人确定之日起2个工作日内，采购人、采购代理机构将发布中标结果，中标公告的公告期限为1个工作日。</w:t>
      </w:r>
    </w:p>
    <w:p w14:paraId="3997644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23.3采购人确定正被列为失信被执行人的投标人为中标人的，中标结果无效。</w:t>
      </w:r>
    </w:p>
    <w:p w14:paraId="02595B63">
      <w:pPr>
        <w:spacing w:line="500" w:lineRule="exact"/>
        <w:ind w:firstLine="482"/>
        <w:rPr>
          <w:rFonts w:hint="eastAsia" w:ascii="仿宋" w:hAnsi="仿宋" w:eastAsia="仿宋" w:cs="仿宋"/>
          <w:b/>
          <w:color w:val="000000"/>
          <w:sz w:val="24"/>
        </w:rPr>
      </w:pPr>
      <w:r>
        <w:rPr>
          <w:rFonts w:hint="eastAsia" w:ascii="仿宋" w:hAnsi="仿宋" w:eastAsia="仿宋" w:cs="仿宋"/>
          <w:b/>
          <w:color w:val="000000"/>
          <w:sz w:val="24"/>
        </w:rPr>
        <w:t>24、中标通知书</w:t>
      </w:r>
    </w:p>
    <w:p w14:paraId="7491ABD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24.1在公告中标结果的同时，采购代理机构将向中标人发出中标通知书。中标人使用CA数字证书登录“苏采云”系统及时下载中标通知书。</w:t>
      </w:r>
    </w:p>
    <w:p w14:paraId="0AF50D5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24.2中标通知书发出后，采购人改变中标结果的，或者中标人放弃中标项目的，应当依法承担法律责任。</w:t>
      </w:r>
    </w:p>
    <w:p w14:paraId="534FB18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24.3采用综合评分法评审的，未中标人可于中标结果公告期限届满之日起通过“苏采云”系统查看</w:t>
      </w:r>
      <w:bookmarkStart w:id="105" w:name="OLE_LINK5"/>
      <w:r>
        <w:rPr>
          <w:rFonts w:hint="eastAsia" w:ascii="仿宋" w:hAnsi="仿宋" w:eastAsia="仿宋" w:cs="仿宋"/>
          <w:color w:val="000000"/>
          <w:sz w:val="24"/>
        </w:rPr>
        <w:t>自己的评审得分及排序情况。</w:t>
      </w:r>
      <w:bookmarkEnd w:id="105"/>
    </w:p>
    <w:p w14:paraId="4F7BAEC8">
      <w:pPr>
        <w:spacing w:line="500" w:lineRule="exact"/>
        <w:ind w:firstLine="482"/>
        <w:rPr>
          <w:rFonts w:hint="eastAsia" w:ascii="仿宋" w:hAnsi="仿宋" w:eastAsia="仿宋" w:cs="仿宋"/>
          <w:b/>
          <w:color w:val="000000"/>
          <w:sz w:val="24"/>
        </w:rPr>
      </w:pPr>
      <w:r>
        <w:rPr>
          <w:rFonts w:hint="eastAsia" w:ascii="仿宋" w:hAnsi="仿宋" w:eastAsia="仿宋" w:cs="仿宋"/>
          <w:b/>
          <w:color w:val="000000"/>
          <w:sz w:val="24"/>
        </w:rPr>
        <w:t>25、授予合同</w:t>
      </w:r>
    </w:p>
    <w:p w14:paraId="24AA26DF">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25.1采购人与中标人应当在中标通知书发出之日起15日内签订政府采购合同。招标文件、中标人的投标文件以及评标过程中有关澄清文件均作为合同附件。</w:t>
      </w:r>
    </w:p>
    <w:p w14:paraId="015EE47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25.2采购人在自合同签订之日起2个工作日内，将合同在指定的媒体上公告。</w:t>
      </w:r>
    </w:p>
    <w:p w14:paraId="6099875D">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26、履约保证金</w:t>
      </w:r>
    </w:p>
    <w:p w14:paraId="76DBE624">
      <w:pPr>
        <w:spacing w:line="480" w:lineRule="exact"/>
        <w:ind w:firstLine="480"/>
        <w:rPr>
          <w:rFonts w:hint="eastAsia" w:ascii="仿宋" w:hAnsi="仿宋" w:eastAsia="仿宋" w:cs="仿宋"/>
          <w:color w:val="000000"/>
          <w:sz w:val="24"/>
          <w:lang w:val="zh-CN"/>
        </w:rPr>
      </w:pPr>
      <w:r>
        <w:rPr>
          <w:rFonts w:hint="eastAsia" w:ascii="仿宋" w:hAnsi="仿宋" w:eastAsia="仿宋" w:cs="仿宋"/>
          <w:color w:val="000000"/>
          <w:sz w:val="24"/>
          <w:lang w:val="zh-CN"/>
        </w:rPr>
        <w:t>按照以下第</w:t>
      </w:r>
      <w:r>
        <w:rPr>
          <w:rFonts w:hint="eastAsia" w:ascii="仿宋" w:hAnsi="仿宋" w:eastAsia="仿宋" w:cs="仿宋"/>
          <w:color w:val="000000"/>
          <w:sz w:val="24"/>
          <w:highlight w:val="none"/>
          <w:u w:val="single"/>
          <w:lang w:val="zh-CN"/>
        </w:rPr>
        <w:t>（</w:t>
      </w:r>
      <w:r>
        <w:rPr>
          <w:rFonts w:hint="eastAsia" w:ascii="仿宋" w:hAnsi="仿宋" w:eastAsia="仿宋" w:cs="仿宋"/>
          <w:color w:val="000000"/>
          <w:sz w:val="24"/>
          <w:highlight w:val="none"/>
          <w:u w:val="single"/>
          <w:lang w:val="en-US" w:eastAsia="zh-CN"/>
        </w:rPr>
        <w:t>1</w:t>
      </w:r>
      <w:r>
        <w:rPr>
          <w:rFonts w:hint="eastAsia" w:ascii="仿宋" w:hAnsi="仿宋" w:eastAsia="仿宋" w:cs="仿宋"/>
          <w:color w:val="000000"/>
          <w:sz w:val="24"/>
          <w:highlight w:val="none"/>
          <w:u w:val="single"/>
          <w:lang w:val="zh-CN"/>
        </w:rPr>
        <w:t>）</w:t>
      </w:r>
      <w:r>
        <w:rPr>
          <w:rFonts w:hint="eastAsia" w:ascii="仿宋" w:hAnsi="仿宋" w:eastAsia="仿宋" w:cs="仿宋"/>
          <w:color w:val="000000"/>
          <w:sz w:val="24"/>
          <w:lang w:val="zh-CN"/>
        </w:rPr>
        <w:t>方式确定履约保证</w:t>
      </w:r>
      <w:r>
        <w:rPr>
          <w:rFonts w:hint="eastAsia" w:ascii="仿宋" w:hAnsi="仿宋" w:eastAsia="仿宋" w:cs="仿宋"/>
          <w:color w:val="000000"/>
          <w:sz w:val="24"/>
        </w:rPr>
        <w:t>金</w:t>
      </w:r>
      <w:r>
        <w:rPr>
          <w:rFonts w:hint="eastAsia" w:ascii="仿宋" w:hAnsi="仿宋" w:eastAsia="仿宋" w:cs="仿宋"/>
          <w:color w:val="000000"/>
          <w:sz w:val="24"/>
          <w:lang w:val="zh-CN"/>
        </w:rPr>
        <w:t>收取方式。</w:t>
      </w:r>
    </w:p>
    <w:p w14:paraId="520C79B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（1）本项目不收取履约保证金。</w:t>
      </w:r>
    </w:p>
    <w:p w14:paraId="3B585AC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（2）本项目收取履约保证金。</w:t>
      </w:r>
    </w:p>
    <w:p w14:paraId="70C839A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26.1履约保证金提交形式</w:t>
      </w:r>
    </w:p>
    <w:p w14:paraId="25DCBB7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履约保证金应在采购合同签订前提交，除银行电汇、网上银行、数字人民币外，投标人还可选用银行保函、担保公司的保证担保或保险公司的保证保险等多种形式向采购人缴纳。</w:t>
      </w:r>
    </w:p>
    <w:p w14:paraId="7922A15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26.2履约保证金提交金额</w:t>
      </w:r>
    </w:p>
    <w:p w14:paraId="7E75301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  </w:t>
      </w:r>
      <w:r>
        <w:rPr>
          <w:rFonts w:hint="eastAsia" w:ascii="仿宋" w:hAnsi="仿宋" w:eastAsia="仿宋" w:cs="仿宋"/>
          <w:color w:val="000000"/>
          <w:sz w:val="24"/>
          <w:highlight w:val="none"/>
        </w:rPr>
        <w:t>%</w:t>
      </w:r>
      <w:r>
        <w:rPr>
          <w:rFonts w:hint="eastAsia" w:ascii="仿宋" w:hAnsi="仿宋" w:eastAsia="仿宋" w:cs="仿宋"/>
          <w:color w:val="000000"/>
          <w:sz w:val="24"/>
        </w:rPr>
        <w:t>提交。</w:t>
      </w:r>
    </w:p>
    <w:p w14:paraId="6201BEC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  </w:t>
      </w:r>
      <w:r>
        <w:rPr>
          <w:rFonts w:hint="eastAsia" w:ascii="仿宋" w:hAnsi="仿宋" w:eastAsia="仿宋" w:cs="仿宋"/>
          <w:color w:val="000000"/>
          <w:sz w:val="24"/>
          <w:highlight w:val="none"/>
        </w:rPr>
        <w:t>%</w:t>
      </w:r>
      <w:r>
        <w:rPr>
          <w:rFonts w:hint="eastAsia" w:ascii="仿宋" w:hAnsi="仿宋" w:eastAsia="仿宋" w:cs="仿宋"/>
          <w:color w:val="000000"/>
          <w:sz w:val="24"/>
        </w:rPr>
        <w:t>（履约保证金原提交金额的6折）提交。办理流程、偿付等内容见江苏政府采购网“保险保函”模块。</w:t>
      </w:r>
    </w:p>
    <w:p w14:paraId="081C45F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26.3履约保证金退还方式</w:t>
      </w:r>
    </w:p>
    <w:p w14:paraId="2877DFB7">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237AB686">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26.4履约保证金退还条件</w:t>
      </w:r>
    </w:p>
    <w:p w14:paraId="3C1A2334">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具有验收合格相关证明材料。</w:t>
      </w:r>
    </w:p>
    <w:p w14:paraId="02A7DAC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26.5履约保证金退还时间</w:t>
      </w:r>
    </w:p>
    <w:p w14:paraId="44BF473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采购人收到投标人退付申请后5个工作日内退还。</w:t>
      </w:r>
    </w:p>
    <w:p w14:paraId="056823A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26.6履约保证金不予退还情形</w:t>
      </w:r>
    </w:p>
    <w:p w14:paraId="4A4D209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除不可抗力外，中标人不履行与采购人订立的采购合同的，履约保证金不予退还，给采购人造成的损失超过履约保证金数额的，还应对超过部分予以赔偿。</w:t>
      </w:r>
    </w:p>
    <w:p w14:paraId="1919C39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26.7逾期退还履约保证金违约责任</w:t>
      </w:r>
    </w:p>
    <w:p w14:paraId="249330D7">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采购人逾期退还履约保证金的，除应退还履约保证金外，还应按中国人民银行同期贷款基准利率上浮20％后的利率支付超期资金占用费，但因投标人自身原因导致无法及时退还的除外。</w:t>
      </w:r>
    </w:p>
    <w:p w14:paraId="3282DE62">
      <w:pPr>
        <w:spacing w:line="480" w:lineRule="exact"/>
        <w:ind w:firstLine="482"/>
        <w:rPr>
          <w:rFonts w:hint="eastAsia" w:ascii="仿宋" w:hAnsi="仿宋" w:eastAsia="仿宋" w:cs="仿宋"/>
          <w:b/>
          <w:bCs/>
          <w:color w:val="000000"/>
          <w:sz w:val="24"/>
          <w:szCs w:val="24"/>
        </w:rPr>
      </w:pPr>
      <w:r>
        <w:rPr>
          <w:rFonts w:hint="eastAsia" w:ascii="仿宋" w:hAnsi="仿宋" w:eastAsia="仿宋" w:cs="仿宋"/>
          <w:b/>
          <w:color w:val="000000"/>
          <w:sz w:val="24"/>
        </w:rPr>
        <w:t>27、线上融资</w:t>
      </w:r>
    </w:p>
    <w:p w14:paraId="0930CC53">
      <w:pPr>
        <w:spacing w:line="480" w:lineRule="exact"/>
        <w:ind w:firstLine="480"/>
        <w:rPr>
          <w:rFonts w:hint="eastAsia" w:ascii="仿宋" w:hAnsi="仿宋" w:eastAsia="仿宋" w:cs="仿宋"/>
          <w:b/>
          <w:bCs/>
          <w:color w:val="000000"/>
          <w:sz w:val="24"/>
          <w:szCs w:val="24"/>
        </w:rPr>
      </w:pPr>
      <w:r>
        <w:rPr>
          <w:rFonts w:hint="eastAsia" w:ascii="仿宋" w:hAnsi="仿宋" w:eastAsia="仿宋" w:cs="仿宋"/>
          <w:bCs/>
          <w:color w:val="000000"/>
          <w:sz w:val="24"/>
          <w:szCs w:val="24"/>
        </w:rPr>
        <w:t>中标人可凭政府采购合同办理融资贷款，详情见江苏政府采购网“政采贷”专栏。</w:t>
      </w:r>
    </w:p>
    <w:p w14:paraId="055047CF">
      <w:pPr>
        <w:spacing w:line="480" w:lineRule="exact"/>
        <w:ind w:firstLine="482"/>
        <w:rPr>
          <w:rFonts w:hint="eastAsia" w:ascii="仿宋" w:hAnsi="仿宋" w:eastAsia="仿宋" w:cs="仿宋"/>
          <w:color w:val="000000"/>
          <w:sz w:val="24"/>
        </w:rPr>
      </w:pPr>
      <w:r>
        <w:rPr>
          <w:rFonts w:hint="eastAsia" w:ascii="仿宋" w:hAnsi="仿宋" w:eastAsia="仿宋" w:cs="仿宋"/>
          <w:b/>
          <w:color w:val="000000"/>
          <w:sz w:val="24"/>
        </w:rPr>
        <w:t>28、合同履行</w:t>
      </w:r>
    </w:p>
    <w:p w14:paraId="6780E3D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28.1政府采购合同订立后，合同各方不得擅自变更、中止或者终止合同。</w:t>
      </w:r>
    </w:p>
    <w:p w14:paraId="5A8BADEC">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4805FB06">
      <w:pPr>
        <w:pStyle w:val="77"/>
        <w:spacing w:before="0" w:after="0" w:line="520" w:lineRule="exact"/>
        <w:rPr>
          <w:rFonts w:hint="eastAsia" w:ascii="仿宋" w:hAnsi="仿宋" w:eastAsia="仿宋" w:cs="仿宋"/>
          <w:bCs/>
          <w:color w:val="000000"/>
          <w:szCs w:val="22"/>
        </w:rPr>
      </w:pPr>
      <w:bookmarkStart w:id="106" w:name="_Toc22084"/>
      <w:bookmarkStart w:id="107" w:name="_Toc81575162"/>
      <w:bookmarkStart w:id="108" w:name="_Toc7550"/>
      <w:bookmarkStart w:id="109" w:name="_Toc81575199"/>
      <w:r>
        <w:rPr>
          <w:rFonts w:hint="eastAsia" w:ascii="仿宋" w:hAnsi="仿宋" w:eastAsia="仿宋" w:cs="仿宋"/>
          <w:bCs/>
          <w:color w:val="000000"/>
          <w:szCs w:val="22"/>
        </w:rPr>
        <w:t>八、</w:t>
      </w:r>
      <w:bookmarkEnd w:id="106"/>
      <w:bookmarkEnd w:id="107"/>
      <w:bookmarkEnd w:id="108"/>
      <w:bookmarkEnd w:id="109"/>
      <w:bookmarkStart w:id="110" w:name="_Toc81575200"/>
      <w:bookmarkStart w:id="111" w:name="_Toc81575163"/>
      <w:bookmarkStart w:id="112" w:name="_Toc31888"/>
      <w:bookmarkStart w:id="113" w:name="_Toc12263"/>
      <w:r>
        <w:rPr>
          <w:rFonts w:hint="eastAsia" w:ascii="仿宋" w:hAnsi="仿宋" w:eastAsia="仿宋" w:cs="仿宋"/>
          <w:bCs/>
          <w:color w:val="000000"/>
          <w:szCs w:val="22"/>
        </w:rPr>
        <w:t>质疑与投诉</w:t>
      </w:r>
      <w:bookmarkEnd w:id="110"/>
      <w:bookmarkEnd w:id="111"/>
      <w:bookmarkEnd w:id="112"/>
      <w:bookmarkEnd w:id="113"/>
    </w:p>
    <w:p w14:paraId="7754751E">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29、质疑</w:t>
      </w:r>
    </w:p>
    <w:p w14:paraId="1D6C6A1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29.1供应商认为采购文件、采购过程和中标结果使自己的权益受到损害的，可以在知道或者应知其权益受到损害之日起七个工作日内，</w:t>
      </w:r>
      <w:bookmarkStart w:id="114" w:name="OLE_LINK2"/>
      <w:r>
        <w:rPr>
          <w:rFonts w:hint="eastAsia" w:ascii="仿宋" w:hAnsi="仿宋" w:eastAsia="仿宋" w:cs="仿宋"/>
          <w:b/>
          <w:bCs/>
          <w:color w:val="000000"/>
          <w:sz w:val="24"/>
        </w:rPr>
        <w:t>登录“苏采云”系统，从“项目质疑申请”模块向采购人提出质疑</w:t>
      </w:r>
      <w:bookmarkEnd w:id="114"/>
      <w:r>
        <w:rPr>
          <w:rFonts w:hint="eastAsia" w:ascii="仿宋" w:hAnsi="仿宋" w:eastAsia="仿宋" w:cs="仿宋"/>
          <w:b/>
          <w:bCs/>
          <w:color w:val="000000"/>
          <w:sz w:val="24"/>
        </w:rPr>
        <w:t>。</w:t>
      </w:r>
      <w:bookmarkStart w:id="115" w:name="OLE_LINK1"/>
      <w:r>
        <w:rPr>
          <w:rFonts w:hint="eastAsia" w:ascii="仿宋" w:hAnsi="仿宋" w:eastAsia="仿宋" w:cs="仿宋"/>
          <w:color w:val="000000"/>
          <w:sz w:val="24"/>
        </w:rPr>
        <w:t>质疑联系部门、联系电话、通讯地址详见采购公告。</w:t>
      </w:r>
      <w:bookmarkEnd w:id="115"/>
    </w:p>
    <w:p w14:paraId="1BA1F5C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29.2供应商应知其权益受到损害之日，是指：</w:t>
      </w:r>
    </w:p>
    <w:p w14:paraId="641CD07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（1）对本项目采购文件提出质疑的，为获取采购文件之日或者采购文件公告期限届满之日；</w:t>
      </w:r>
    </w:p>
    <w:p w14:paraId="2772E8D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（2）对本项目采购过程提出质疑的，为各采购程序环节结束之日；</w:t>
      </w:r>
    </w:p>
    <w:p w14:paraId="0DFA2D5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（3）对本项目中标结果提出质疑的，为中标结果公告期限届满之日。</w:t>
      </w:r>
    </w:p>
    <w:p w14:paraId="36356AD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29.3质疑供应商应当是参与所质疑项目采购活动的供应商。潜在供应商已依法获取其可质疑的采购文件的，方可对该文件提出质疑。供应商在法定质疑期内应一次性提出针对同一采购程序环节的质疑。</w:t>
      </w:r>
    </w:p>
    <w:p w14:paraId="13E2472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29.4供应商提出质疑应当提交质疑函和必要的证明材料。质疑函的必备内容：</w:t>
      </w:r>
    </w:p>
    <w:p w14:paraId="28A9A03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（1）供应商的姓名或者名称、地址、邮编、联系人及联系电话；</w:t>
      </w:r>
    </w:p>
    <w:p w14:paraId="473EF7D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（2）质疑项目的名称、编号；</w:t>
      </w:r>
    </w:p>
    <w:p w14:paraId="2DAD77E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（3）获取采购文件的时间；</w:t>
      </w:r>
    </w:p>
    <w:p w14:paraId="5761E4FA">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（4）具体、明确的质疑事项和质疑事项相关的请求；</w:t>
      </w:r>
    </w:p>
    <w:p w14:paraId="109547CF">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（5）事实依据；</w:t>
      </w:r>
    </w:p>
    <w:p w14:paraId="2AE83C15">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（6）必要的法律依据；</w:t>
      </w:r>
    </w:p>
    <w:p w14:paraId="1D02A4B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（7）提出质疑的日期；</w:t>
      </w:r>
    </w:p>
    <w:p w14:paraId="43DBCA1A">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（8）供应商为自然人的，由本人签字；供应商为法人或者其他组织的，应当由法定代表人、主要负责人，或者其授权代表签字或者盖章，并加盖公章；</w:t>
      </w:r>
    </w:p>
    <w:p w14:paraId="3CE4C90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4F7F8D29">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29.5采购人在收到质疑函后7个工作日内作出答复，并以书面形式通知质疑供应商和其他有关供应商，但质疑答复的内容不涉及商业秘密。</w:t>
      </w:r>
    </w:p>
    <w:p w14:paraId="7080B14D">
      <w:pPr>
        <w:spacing w:line="480" w:lineRule="exact"/>
        <w:ind w:firstLine="482"/>
        <w:rPr>
          <w:rFonts w:hint="eastAsia" w:ascii="仿宋" w:hAnsi="仿宋" w:eastAsia="仿宋" w:cs="仿宋"/>
          <w:b/>
          <w:color w:val="000000"/>
          <w:sz w:val="24"/>
        </w:rPr>
      </w:pPr>
      <w:r>
        <w:rPr>
          <w:rFonts w:hint="eastAsia" w:ascii="仿宋" w:hAnsi="仿宋" w:eastAsia="仿宋" w:cs="仿宋"/>
          <w:b/>
          <w:color w:val="000000"/>
          <w:sz w:val="24"/>
        </w:rPr>
        <w:t>30、投诉</w:t>
      </w:r>
    </w:p>
    <w:p w14:paraId="1CBD507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质疑供应商对答复不满意或采购人、采购代理机构未在规定时间内作出答复的，可在答复期满后15个工作日内向同级财政部门提起投诉。</w:t>
      </w:r>
    </w:p>
    <w:p w14:paraId="44634277">
      <w:pPr>
        <w:pStyle w:val="76"/>
        <w:spacing w:before="200"/>
        <w:jc w:val="center"/>
        <w:rPr>
          <w:rFonts w:hint="eastAsia" w:ascii="仿宋" w:hAnsi="仿宋" w:eastAsia="仿宋" w:cs="仿宋"/>
          <w:color w:val="000000"/>
        </w:rPr>
      </w:pPr>
      <w:bookmarkStart w:id="116" w:name="EB4d341233595e4bf8ad7006b4bd78d974"/>
      <w:bookmarkEnd w:id="116"/>
      <w:bookmarkStart w:id="117" w:name="_Toc81575201"/>
      <w:bookmarkStart w:id="118" w:name="_Toc81575164"/>
      <w:bookmarkStart w:id="119" w:name="_Hlk166141273"/>
      <w:r>
        <w:rPr>
          <w:rFonts w:hint="eastAsia" w:ascii="仿宋" w:hAnsi="仿宋" w:eastAsia="仿宋" w:cs="仿宋"/>
          <w:color w:val="000000"/>
        </w:rPr>
        <w:br w:type="page" w:clear="all"/>
      </w:r>
      <w:bookmarkStart w:id="120" w:name="_Toc21232"/>
      <w:r>
        <w:rPr>
          <w:rFonts w:hint="eastAsia" w:ascii="仿宋" w:hAnsi="仿宋" w:eastAsia="仿宋" w:cs="仿宋"/>
          <w:b/>
          <w:color w:val="000000"/>
          <w:sz w:val="44"/>
          <w:szCs w:val="44"/>
        </w:rPr>
        <w:t>第三章  资格审查及评标</w:t>
      </w:r>
      <w:bookmarkEnd w:id="117"/>
      <w:bookmarkEnd w:id="118"/>
      <w:r>
        <w:rPr>
          <w:rFonts w:hint="eastAsia" w:ascii="仿宋" w:hAnsi="仿宋" w:eastAsia="仿宋" w:cs="仿宋"/>
          <w:b/>
          <w:color w:val="000000"/>
          <w:sz w:val="44"/>
          <w:szCs w:val="44"/>
        </w:rPr>
        <w:t>方法</w:t>
      </w:r>
      <w:bookmarkEnd w:id="120"/>
    </w:p>
    <w:p w14:paraId="3DD7FCDC">
      <w:pPr>
        <w:spacing w:line="480" w:lineRule="exact"/>
        <w:ind w:firstLine="482"/>
        <w:jc w:val="left"/>
        <w:rPr>
          <w:rFonts w:hint="eastAsia" w:ascii="仿宋" w:hAnsi="仿宋" w:eastAsia="仿宋" w:cs="仿宋"/>
          <w:b/>
          <w:bCs/>
          <w:color w:val="000000"/>
          <w:sz w:val="24"/>
        </w:rPr>
      </w:pPr>
      <w:r>
        <w:rPr>
          <w:rFonts w:hint="eastAsia" w:ascii="仿宋" w:hAnsi="仿宋" w:eastAsia="仿宋" w:cs="仿宋"/>
          <w:b/>
          <w:bCs/>
          <w:color w:val="000000"/>
          <w:sz w:val="24"/>
        </w:rPr>
        <w:t>一、资格审查</w:t>
      </w:r>
    </w:p>
    <w:p w14:paraId="5BFFF0E4">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zCs w:val="28"/>
        </w:rPr>
        <w:t>资格审查人员按照下列指标对各投标人的资格进行审查，未通过审查的为无效标，不参与评标。</w:t>
      </w:r>
    </w:p>
    <w:tbl>
      <w:tblPr>
        <w:tblStyle w:val="40"/>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013CDC8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94" w:hRule="atLeast"/>
        </w:trPr>
        <w:tc>
          <w:tcPr>
            <w:tcW w:w="4422" w:type="dxa"/>
            <w:tcBorders>
              <w:top w:val="single" w:color="000000" w:sz="2" w:space="0"/>
              <w:left w:val="single" w:color="000000" w:sz="2" w:space="0"/>
              <w:bottom w:val="single" w:color="000000" w:sz="2" w:space="0"/>
              <w:right w:val="single" w:color="000000" w:sz="2" w:space="0"/>
            </w:tcBorders>
            <w:noWrap w:val="0"/>
            <w:vAlign w:val="center"/>
          </w:tcPr>
          <w:p w14:paraId="65A8F2AD">
            <w:pPr>
              <w:spacing w:line="480" w:lineRule="exact"/>
              <w:jc w:val="center"/>
              <w:rPr>
                <w:rFonts w:hint="eastAsia" w:ascii="仿宋" w:hAnsi="仿宋" w:eastAsia="仿宋" w:cs="仿宋"/>
                <w:b/>
                <w:bCs/>
                <w:color w:val="000000"/>
              </w:rPr>
            </w:pPr>
            <w:r>
              <w:rPr>
                <w:rFonts w:hint="eastAsia" w:ascii="仿宋" w:hAnsi="仿宋" w:eastAsia="仿宋" w:cs="仿宋"/>
                <w:b/>
                <w:bCs/>
                <w:color w:val="000000"/>
              </w:rPr>
              <w:t>资格审查因素</w:t>
            </w:r>
          </w:p>
        </w:tc>
        <w:tc>
          <w:tcPr>
            <w:tcW w:w="4246" w:type="dxa"/>
            <w:tcBorders>
              <w:top w:val="single" w:color="000000" w:sz="2" w:space="0"/>
              <w:left w:val="single" w:color="000000" w:sz="2" w:space="0"/>
              <w:bottom w:val="single" w:color="000000" w:sz="2" w:space="0"/>
              <w:right w:val="single" w:color="000000" w:sz="2" w:space="0"/>
            </w:tcBorders>
            <w:noWrap w:val="0"/>
            <w:vAlign w:val="center"/>
          </w:tcPr>
          <w:p w14:paraId="5626CB68">
            <w:pPr>
              <w:spacing w:line="480" w:lineRule="exact"/>
              <w:jc w:val="center"/>
              <w:rPr>
                <w:rFonts w:hint="eastAsia" w:ascii="仿宋" w:hAnsi="仿宋" w:eastAsia="仿宋" w:cs="仿宋"/>
                <w:b/>
                <w:bCs/>
                <w:color w:val="000000"/>
              </w:rPr>
            </w:pPr>
            <w:r>
              <w:rPr>
                <w:rFonts w:hint="eastAsia" w:ascii="仿宋" w:hAnsi="仿宋" w:eastAsia="仿宋" w:cs="仿宋"/>
                <w:b/>
                <w:bCs/>
                <w:color w:val="000000"/>
              </w:rPr>
              <w:t>审查标准</w:t>
            </w:r>
          </w:p>
        </w:tc>
      </w:tr>
      <w:tr w14:paraId="1CDA73A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2" w:space="0"/>
              <w:left w:val="single" w:color="000000" w:sz="2" w:space="0"/>
              <w:bottom w:val="single" w:color="000000" w:sz="2" w:space="0"/>
              <w:right w:val="single" w:color="000000" w:sz="2" w:space="0"/>
            </w:tcBorders>
            <w:noWrap w:val="0"/>
            <w:vAlign w:val="center"/>
          </w:tcPr>
          <w:p w14:paraId="55EE799F">
            <w:pPr>
              <w:spacing w:line="480" w:lineRule="exact"/>
              <w:jc w:val="center"/>
              <w:rPr>
                <w:rFonts w:hint="eastAsia" w:ascii="仿宋" w:hAnsi="仿宋" w:eastAsia="仿宋" w:cs="仿宋"/>
                <w:color w:val="000000"/>
              </w:rPr>
            </w:pPr>
            <w:r>
              <w:rPr>
                <w:rFonts w:hint="eastAsia" w:ascii="仿宋" w:hAnsi="仿宋" w:eastAsia="仿宋" w:cs="仿宋"/>
                <w:color w:val="000000"/>
              </w:rPr>
              <w:t>投标函</w:t>
            </w:r>
          </w:p>
        </w:tc>
        <w:tc>
          <w:tcPr>
            <w:tcW w:w="4246" w:type="dxa"/>
            <w:tcBorders>
              <w:top w:val="single" w:color="000000" w:sz="2" w:space="0"/>
              <w:left w:val="single" w:color="000000" w:sz="2" w:space="0"/>
              <w:bottom w:val="single" w:color="000000" w:sz="2" w:space="0"/>
              <w:right w:val="single" w:color="000000" w:sz="2" w:space="0"/>
            </w:tcBorders>
            <w:noWrap w:val="0"/>
            <w:vAlign w:val="center"/>
          </w:tcPr>
          <w:p w14:paraId="20703740">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r w14:paraId="24B3B64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2" w:space="0"/>
              <w:left w:val="single" w:color="000000" w:sz="2" w:space="0"/>
              <w:bottom w:val="single" w:color="000000" w:sz="2" w:space="0"/>
              <w:right w:val="single" w:color="000000" w:sz="2" w:space="0"/>
            </w:tcBorders>
            <w:noWrap w:val="0"/>
            <w:vAlign w:val="center"/>
          </w:tcPr>
          <w:p w14:paraId="06994E12">
            <w:pPr>
              <w:spacing w:line="480" w:lineRule="exact"/>
              <w:jc w:val="center"/>
              <w:rPr>
                <w:rFonts w:hint="eastAsia" w:ascii="仿宋" w:hAnsi="仿宋" w:eastAsia="仿宋" w:cs="仿宋"/>
                <w:color w:val="000000"/>
              </w:rPr>
            </w:pPr>
            <w:r>
              <w:rPr>
                <w:rFonts w:hint="eastAsia" w:ascii="仿宋" w:hAnsi="仿宋" w:eastAsia="仿宋" w:cs="仿宋"/>
                <w:color w:val="000000"/>
              </w:rPr>
              <w:t>信用信息</w:t>
            </w:r>
          </w:p>
        </w:tc>
        <w:tc>
          <w:tcPr>
            <w:tcW w:w="4246" w:type="dxa"/>
            <w:tcBorders>
              <w:top w:val="single" w:color="000000" w:sz="2" w:space="0"/>
              <w:left w:val="single" w:color="000000" w:sz="2" w:space="0"/>
              <w:bottom w:val="single" w:color="000000" w:sz="2" w:space="0"/>
              <w:right w:val="single" w:color="000000" w:sz="2" w:space="0"/>
            </w:tcBorders>
            <w:noWrap w:val="0"/>
            <w:vAlign w:val="center"/>
          </w:tcPr>
          <w:p w14:paraId="3C711B12">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r w14:paraId="44A5065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00311EA">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中小企业或残疾人福利性单位声明函，或监狱企业证明文件</w:t>
            </w:r>
          </w:p>
        </w:tc>
        <w:tc>
          <w:tcPr>
            <w:tcW w:w="4246"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0104523">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符合招标文件要求</w:t>
            </w:r>
          </w:p>
        </w:tc>
      </w:tr>
      <w:tr w14:paraId="126B1A1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633E52E">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投标代理人(授权委托人)资格要求</w:t>
            </w:r>
          </w:p>
        </w:tc>
        <w:tc>
          <w:tcPr>
            <w:tcW w:w="4246"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641EF84">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符合招标文件要求</w:t>
            </w:r>
          </w:p>
        </w:tc>
      </w:tr>
      <w:tr w14:paraId="234809F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95"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658EA86">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其他</w:t>
            </w:r>
          </w:p>
        </w:tc>
        <w:tc>
          <w:tcPr>
            <w:tcW w:w="0" w:type="auto"/>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E168833">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符合招标文件要求</w:t>
            </w:r>
          </w:p>
        </w:tc>
      </w:tr>
    </w:tbl>
    <w:p w14:paraId="6CD69DF9">
      <w:pPr>
        <w:spacing w:line="480" w:lineRule="exact"/>
        <w:ind w:firstLine="482"/>
        <w:jc w:val="left"/>
        <w:rPr>
          <w:rFonts w:hint="eastAsia" w:ascii="仿宋" w:hAnsi="仿宋" w:eastAsia="仿宋" w:cs="仿宋"/>
          <w:b/>
          <w:bCs/>
          <w:color w:val="000000"/>
          <w:sz w:val="24"/>
        </w:rPr>
      </w:pPr>
      <w:r>
        <w:rPr>
          <w:rFonts w:hint="eastAsia" w:ascii="仿宋" w:hAnsi="仿宋" w:eastAsia="仿宋" w:cs="仿宋"/>
          <w:b/>
          <w:bCs/>
          <w:color w:val="000000"/>
          <w:sz w:val="24"/>
        </w:rPr>
        <w:t>二、符合性审查</w:t>
      </w:r>
    </w:p>
    <w:p w14:paraId="23C110FD">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zCs w:val="28"/>
        </w:rPr>
        <w:t>评标委员会对符合资格的投标人的投标文件进行符合性审查，未通过审查的为无效标，不再参与评审。</w:t>
      </w:r>
    </w:p>
    <w:tbl>
      <w:tblPr>
        <w:tblStyle w:val="40"/>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709773C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2" w:space="0"/>
              <w:left w:val="single" w:color="000000" w:sz="2" w:space="0"/>
              <w:bottom w:val="single" w:color="000000" w:sz="2" w:space="0"/>
              <w:right w:val="single" w:color="000000" w:sz="2" w:space="0"/>
            </w:tcBorders>
            <w:noWrap w:val="0"/>
            <w:vAlign w:val="center"/>
          </w:tcPr>
          <w:p w14:paraId="593CE081">
            <w:pPr>
              <w:spacing w:line="480" w:lineRule="exact"/>
              <w:jc w:val="center"/>
              <w:rPr>
                <w:rFonts w:hint="eastAsia" w:ascii="仿宋" w:hAnsi="仿宋" w:eastAsia="仿宋" w:cs="仿宋"/>
                <w:b/>
                <w:bCs/>
                <w:color w:val="000000"/>
              </w:rPr>
            </w:pPr>
            <w:r>
              <w:rPr>
                <w:rFonts w:hint="eastAsia" w:ascii="仿宋" w:hAnsi="仿宋" w:eastAsia="仿宋" w:cs="仿宋"/>
                <w:b/>
                <w:bCs/>
                <w:color w:val="000000"/>
              </w:rPr>
              <w:t>符合性审查因素</w:t>
            </w:r>
          </w:p>
        </w:tc>
        <w:tc>
          <w:tcPr>
            <w:tcW w:w="4304" w:type="dxa"/>
            <w:tcBorders>
              <w:top w:val="single" w:color="000000" w:sz="2" w:space="0"/>
              <w:left w:val="single" w:color="000000" w:sz="2" w:space="0"/>
              <w:bottom w:val="single" w:color="000000" w:sz="2" w:space="0"/>
              <w:right w:val="single" w:color="000000" w:sz="2" w:space="0"/>
            </w:tcBorders>
            <w:noWrap w:val="0"/>
            <w:vAlign w:val="center"/>
          </w:tcPr>
          <w:p w14:paraId="26B9303B">
            <w:pPr>
              <w:spacing w:line="480" w:lineRule="exact"/>
              <w:jc w:val="center"/>
              <w:rPr>
                <w:rFonts w:hint="eastAsia" w:ascii="仿宋" w:hAnsi="仿宋" w:eastAsia="仿宋" w:cs="仿宋"/>
                <w:b/>
                <w:bCs/>
                <w:color w:val="000000"/>
              </w:rPr>
            </w:pPr>
            <w:r>
              <w:rPr>
                <w:rFonts w:hint="eastAsia" w:ascii="仿宋" w:hAnsi="仿宋" w:eastAsia="仿宋" w:cs="仿宋"/>
                <w:b/>
                <w:bCs/>
                <w:color w:val="000000"/>
              </w:rPr>
              <w:t>审查标准</w:t>
            </w:r>
          </w:p>
        </w:tc>
      </w:tr>
      <w:tr w14:paraId="5CE46EB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02" w:hRule="atLeast"/>
        </w:trPr>
        <w:tc>
          <w:tcPr>
            <w:tcW w:w="4364" w:type="dxa"/>
            <w:tcBorders>
              <w:top w:val="single" w:color="000000" w:sz="2" w:space="0"/>
              <w:left w:val="single" w:color="000000" w:sz="2" w:space="0"/>
              <w:bottom w:val="single" w:color="000000" w:sz="2" w:space="0"/>
              <w:right w:val="single" w:color="000000" w:sz="2" w:space="0"/>
            </w:tcBorders>
            <w:noWrap w:val="0"/>
            <w:vAlign w:val="center"/>
          </w:tcPr>
          <w:p w14:paraId="0EB7F76B">
            <w:pPr>
              <w:spacing w:line="480" w:lineRule="exact"/>
              <w:jc w:val="center"/>
              <w:rPr>
                <w:rFonts w:hint="eastAsia" w:ascii="仿宋" w:hAnsi="仿宋" w:eastAsia="仿宋" w:cs="仿宋"/>
                <w:color w:val="000000"/>
              </w:rPr>
            </w:pPr>
            <w:r>
              <w:rPr>
                <w:rFonts w:hint="eastAsia" w:ascii="仿宋" w:hAnsi="仿宋" w:eastAsia="仿宋" w:cs="仿宋"/>
                <w:color w:val="000000"/>
              </w:rPr>
              <w:t>法人授权书</w:t>
            </w:r>
          </w:p>
        </w:tc>
        <w:tc>
          <w:tcPr>
            <w:tcW w:w="4304" w:type="dxa"/>
            <w:tcBorders>
              <w:top w:val="single" w:color="000000" w:sz="2" w:space="0"/>
              <w:left w:val="single" w:color="000000" w:sz="2" w:space="0"/>
              <w:bottom w:val="single" w:color="000000" w:sz="2" w:space="0"/>
              <w:right w:val="single" w:color="000000" w:sz="2" w:space="0"/>
            </w:tcBorders>
            <w:noWrap w:val="0"/>
            <w:vAlign w:val="center"/>
          </w:tcPr>
          <w:p w14:paraId="6C9B0DA4">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r w14:paraId="541BE49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4364" w:type="dxa"/>
            <w:vMerge w:val="restart"/>
            <w:tcBorders>
              <w:top w:val="single" w:color="000000" w:sz="2" w:space="0"/>
              <w:left w:val="single" w:color="000000" w:sz="2" w:space="0"/>
              <w:bottom w:val="single" w:color="000000" w:sz="2" w:space="0"/>
              <w:right w:val="single" w:color="000000" w:sz="2" w:space="0"/>
            </w:tcBorders>
            <w:noWrap w:val="0"/>
            <w:vAlign w:val="center"/>
          </w:tcPr>
          <w:p w14:paraId="2DAE1EEC">
            <w:pPr>
              <w:pBdr>
                <w:top w:val="none" w:color="000000" w:sz="0" w:space="0"/>
                <w:left w:val="none" w:color="000000" w:sz="0" w:space="0"/>
                <w:bottom w:val="none" w:color="000000" w:sz="0" w:space="0"/>
                <w:right w:val="none" w:color="000000" w:sz="0" w:space="0"/>
              </w:pBdr>
              <w:spacing w:line="480" w:lineRule="exact"/>
              <w:jc w:val="center"/>
              <w:rPr>
                <w:rFonts w:hint="eastAsia" w:ascii="仿宋" w:hAnsi="仿宋" w:eastAsia="仿宋" w:cs="仿宋"/>
                <w:color w:val="000000"/>
              </w:rPr>
            </w:pPr>
            <w:r>
              <w:rPr>
                <w:rFonts w:hint="eastAsia" w:ascii="仿宋" w:hAnsi="仿宋" w:eastAsia="仿宋" w:cs="仿宋"/>
                <w:color w:val="000000"/>
              </w:rPr>
              <w:t>技术标准和要求</w:t>
            </w:r>
          </w:p>
        </w:tc>
        <w:tc>
          <w:tcPr>
            <w:tcW w:w="4304" w:type="dxa"/>
            <w:vMerge w:val="restart"/>
            <w:tcBorders>
              <w:top w:val="single" w:color="000000" w:sz="2" w:space="0"/>
              <w:left w:val="single" w:color="000000" w:sz="2" w:space="0"/>
              <w:bottom w:val="single" w:color="000000" w:sz="2" w:space="0"/>
              <w:right w:val="single" w:color="000000" w:sz="2" w:space="0"/>
            </w:tcBorders>
            <w:noWrap w:val="0"/>
            <w:vAlign w:val="center"/>
          </w:tcPr>
          <w:p w14:paraId="5CB1E29E">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r w14:paraId="1356AEC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2" w:space="0"/>
              <w:left w:val="single" w:color="000000" w:sz="2" w:space="0"/>
              <w:bottom w:val="single" w:color="000000" w:sz="2" w:space="0"/>
              <w:right w:val="single" w:color="000000" w:sz="2" w:space="0"/>
            </w:tcBorders>
            <w:noWrap w:val="0"/>
            <w:vAlign w:val="center"/>
          </w:tcPr>
          <w:p w14:paraId="2EE1505B">
            <w:pPr>
              <w:spacing w:line="480" w:lineRule="exact"/>
              <w:jc w:val="center"/>
              <w:rPr>
                <w:rFonts w:hint="eastAsia" w:ascii="仿宋" w:hAnsi="仿宋" w:eastAsia="仿宋" w:cs="仿宋"/>
                <w:color w:val="000000"/>
              </w:rPr>
            </w:pPr>
            <w:r>
              <w:rPr>
                <w:rFonts w:hint="eastAsia" w:ascii="仿宋" w:hAnsi="仿宋" w:eastAsia="仿宋" w:cs="仿宋"/>
                <w:color w:val="000000"/>
              </w:rPr>
              <w:t>其他</w:t>
            </w:r>
          </w:p>
        </w:tc>
        <w:tc>
          <w:tcPr>
            <w:tcW w:w="4304" w:type="dxa"/>
            <w:tcBorders>
              <w:top w:val="single" w:color="000000" w:sz="2" w:space="0"/>
              <w:left w:val="single" w:color="000000" w:sz="2" w:space="0"/>
              <w:bottom w:val="single" w:color="000000" w:sz="2" w:space="0"/>
              <w:right w:val="single" w:color="000000" w:sz="2" w:space="0"/>
            </w:tcBorders>
            <w:noWrap w:val="0"/>
            <w:vAlign w:val="center"/>
          </w:tcPr>
          <w:p w14:paraId="2FFEEDBD">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bl>
    <w:p w14:paraId="3BC1C560">
      <w:pPr>
        <w:spacing w:line="480" w:lineRule="exact"/>
        <w:ind w:firstLine="482"/>
        <w:jc w:val="left"/>
        <w:rPr>
          <w:rFonts w:hint="eastAsia" w:ascii="仿宋" w:hAnsi="仿宋" w:eastAsia="仿宋" w:cs="仿宋"/>
          <w:b/>
          <w:bCs/>
          <w:color w:val="000000"/>
          <w:sz w:val="24"/>
        </w:rPr>
      </w:pPr>
      <w:r>
        <w:rPr>
          <w:rFonts w:hint="eastAsia" w:ascii="仿宋" w:hAnsi="仿宋" w:eastAsia="仿宋" w:cs="仿宋"/>
          <w:b/>
          <w:bCs/>
          <w:color w:val="000000"/>
          <w:sz w:val="24"/>
        </w:rPr>
        <w:t>三、评标方法</w:t>
      </w:r>
    </w:p>
    <w:p w14:paraId="4A4130C8">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zCs w:val="28"/>
        </w:rPr>
        <w:t>本项目采用综合评分法，评标结果按评审后得分由高到低顺序排列。得分相同的，按投标报价由低到高顺序排序。得分且投标报价相同的并列。</w:t>
      </w:r>
    </w:p>
    <w:p w14:paraId="1375BDBB">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rPr>
        <w:t>综合评分保留至小数点后两位。</w:t>
      </w:r>
    </w:p>
    <w:p w14:paraId="17B0E7D1">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rPr>
        <w:t>评标委员会根据评标后投标人排序推荐中标候选人，并形成评标报告。</w:t>
      </w:r>
    </w:p>
    <w:p w14:paraId="521A4A25">
      <w:pPr>
        <w:numPr>
          <w:ilvl w:val="0"/>
          <w:numId w:val="3"/>
        </w:numPr>
        <w:spacing w:line="480" w:lineRule="exact"/>
        <w:ind w:firstLine="482"/>
        <w:jc w:val="left"/>
        <w:rPr>
          <w:rFonts w:hint="eastAsia" w:ascii="仿宋" w:hAnsi="仿宋" w:eastAsia="仿宋" w:cs="仿宋"/>
          <w:b/>
          <w:bCs/>
          <w:color w:val="000000"/>
          <w:sz w:val="24"/>
        </w:rPr>
      </w:pPr>
      <w:r>
        <w:rPr>
          <w:rFonts w:hint="eastAsia" w:ascii="仿宋" w:hAnsi="仿宋" w:eastAsia="仿宋" w:cs="仿宋"/>
          <w:b/>
          <w:bCs/>
          <w:color w:val="000000"/>
          <w:sz w:val="24"/>
        </w:rPr>
        <w:t>评标标准</w:t>
      </w:r>
    </w:p>
    <w:p w14:paraId="7B3F56C8">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rPr>
        <w:t>评标委员会根据评标后投标人排序推荐中标候选人，并形成评标报告。</w:t>
      </w:r>
    </w:p>
    <w:tbl>
      <w:tblPr>
        <w:tblStyle w:val="40"/>
        <w:tblW w:w="9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6"/>
        <w:gridCol w:w="1028"/>
        <w:gridCol w:w="6597"/>
      </w:tblGrid>
      <w:tr w14:paraId="728D1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646" w:type="dxa"/>
            <w:noWrap w:val="0"/>
            <w:vAlign w:val="center"/>
          </w:tcPr>
          <w:p w14:paraId="590DC946">
            <w:pPr>
              <w:widowControl/>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评审因素</w:t>
            </w:r>
          </w:p>
        </w:tc>
        <w:tc>
          <w:tcPr>
            <w:tcW w:w="1028" w:type="dxa"/>
            <w:noWrap w:val="0"/>
            <w:vAlign w:val="center"/>
          </w:tcPr>
          <w:p w14:paraId="438107D6">
            <w:pPr>
              <w:widowControl/>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分数</w:t>
            </w:r>
          </w:p>
        </w:tc>
        <w:tc>
          <w:tcPr>
            <w:tcW w:w="6597" w:type="dxa"/>
            <w:noWrap w:val="0"/>
            <w:vAlign w:val="center"/>
          </w:tcPr>
          <w:p w14:paraId="23E1F9A7">
            <w:pPr>
              <w:widowControl/>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评审标准</w:t>
            </w:r>
          </w:p>
        </w:tc>
      </w:tr>
      <w:tr w14:paraId="16D12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noWrap w:val="0"/>
            <w:vAlign w:val="center"/>
          </w:tcPr>
          <w:p w14:paraId="70270B0A">
            <w:pPr>
              <w:widowControl/>
              <w:spacing w:line="400" w:lineRule="exact"/>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投标报价</w:t>
            </w:r>
          </w:p>
        </w:tc>
        <w:tc>
          <w:tcPr>
            <w:tcW w:w="1028" w:type="dxa"/>
            <w:noWrap w:val="0"/>
            <w:vAlign w:val="center"/>
          </w:tcPr>
          <w:p w14:paraId="4D915CC0">
            <w:pPr>
              <w:widowControl/>
              <w:spacing w:line="400" w:lineRule="exact"/>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2</w:t>
            </w:r>
            <w:r>
              <w:rPr>
                <w:rFonts w:hint="eastAsia" w:ascii="仿宋" w:hAnsi="仿宋" w:eastAsia="仿宋" w:cs="仿宋"/>
                <w:color w:val="auto"/>
                <w:szCs w:val="24"/>
                <w:highlight w:val="none"/>
                <w:lang w:val="en-US" w:eastAsia="zh-CN"/>
              </w:rPr>
              <w:t>5</w:t>
            </w:r>
            <w:r>
              <w:rPr>
                <w:rFonts w:hint="eastAsia" w:ascii="仿宋" w:hAnsi="仿宋" w:eastAsia="仿宋" w:cs="仿宋"/>
                <w:color w:val="auto"/>
                <w:szCs w:val="24"/>
                <w:highlight w:val="none"/>
              </w:rPr>
              <w:t>.00分</w:t>
            </w:r>
          </w:p>
        </w:tc>
        <w:tc>
          <w:tcPr>
            <w:tcW w:w="6597" w:type="dxa"/>
            <w:noWrap w:val="0"/>
            <w:vAlign w:val="center"/>
          </w:tcPr>
          <w:p w14:paraId="3D7990D6">
            <w:pPr>
              <w:widowControl/>
              <w:spacing w:line="400" w:lineRule="exact"/>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auto"/>
                <w:szCs w:val="24"/>
                <w:highlight w:val="none"/>
                <w:lang w:val="en-US" w:eastAsia="zh-CN"/>
              </w:rPr>
              <w:t>25</w:t>
            </w:r>
            <w:r>
              <w:rPr>
                <w:rFonts w:hint="eastAsia" w:ascii="仿宋" w:hAnsi="仿宋" w:eastAsia="仿宋" w:cs="仿宋"/>
                <w:color w:val="auto"/>
                <w:szCs w:val="24"/>
                <w:highlight w:val="none"/>
              </w:rPr>
              <w:t>。</w:t>
            </w:r>
          </w:p>
        </w:tc>
      </w:tr>
      <w:tr w14:paraId="2888C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1646" w:type="dxa"/>
            <w:noWrap w:val="0"/>
            <w:vAlign w:val="center"/>
          </w:tcPr>
          <w:p w14:paraId="5CC684FB">
            <w:pPr>
              <w:widowControl/>
              <w:jc w:val="left"/>
              <w:rPr>
                <w:rFonts w:hint="default" w:ascii="仿宋" w:hAnsi="仿宋" w:eastAsia="仿宋" w:cs="仿宋"/>
                <w:color w:val="auto"/>
                <w:szCs w:val="21"/>
                <w:highlight w:val="none"/>
                <w:lang w:val="en-US"/>
              </w:rPr>
            </w:pPr>
            <w:r>
              <w:rPr>
                <w:rFonts w:hint="eastAsia" w:ascii="仿宋" w:hAnsi="仿宋" w:eastAsia="仿宋" w:cs="仿宋"/>
                <w:color w:val="auto"/>
                <w:szCs w:val="21"/>
                <w:highlight w:val="none"/>
                <w:rtl w:val="0"/>
                <w:lang w:val="en-US" w:eastAsia="zh-CN"/>
              </w:rPr>
              <w:t>服务要求承诺（一）及相关服务方案</w:t>
            </w:r>
          </w:p>
        </w:tc>
        <w:tc>
          <w:tcPr>
            <w:tcW w:w="1028" w:type="dxa"/>
            <w:noWrap w:val="0"/>
            <w:vAlign w:val="center"/>
          </w:tcPr>
          <w:p w14:paraId="2C7C8AAB">
            <w:pPr>
              <w:widowControl/>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13</w:t>
            </w:r>
            <w:r>
              <w:rPr>
                <w:rFonts w:hint="eastAsia" w:ascii="仿宋" w:hAnsi="仿宋" w:eastAsia="仿宋" w:cs="仿宋"/>
                <w:color w:val="auto"/>
                <w:szCs w:val="24"/>
                <w:highlight w:val="none"/>
              </w:rPr>
              <w:t>.00分</w:t>
            </w:r>
          </w:p>
        </w:tc>
        <w:tc>
          <w:tcPr>
            <w:tcW w:w="6597" w:type="dxa"/>
            <w:noWrap w:val="0"/>
            <w:vAlign w:val="center"/>
          </w:tcPr>
          <w:p w14:paraId="090A514B">
            <w:pPr>
              <w:widowControl/>
              <w:spacing w:line="400" w:lineRule="exact"/>
              <w:jc w:val="left"/>
              <w:rPr>
                <w:rFonts w:hint="eastAsia" w:ascii="仿宋" w:hAnsi="仿宋" w:eastAsia="仿宋" w:cs="仿宋"/>
                <w:color w:val="auto"/>
                <w:highlight w:val="none"/>
              </w:rPr>
            </w:pPr>
            <w:r>
              <w:rPr>
                <w:rFonts w:hint="eastAsia" w:ascii="仿宋" w:hAnsi="仿宋" w:eastAsia="仿宋" w:cs="仿宋"/>
                <w:color w:val="auto"/>
                <w:szCs w:val="24"/>
                <w:highlight w:val="none"/>
                <w:rtl w:val="0"/>
                <w:lang w:val="en-US" w:eastAsia="zh-CN"/>
              </w:rPr>
              <w:t>1、投标人承诺中标后按照“第四章、采购需求-第三条人员配备及职责-1、人员配备、2、日常出勤，第五条（一）保洁服务管理”标准服务的，得10分。注：投标文件中需提供加盖本单位公章的承诺函电子件，格式见招标文件“第六章”，未提供不得分。2、投标人对保洁服务管理的采购需求内容，自行提供上述服务方案，服务方案全部优于采购需求的，得3分；能够实现采购需求的得2分;未提供不得分。</w:t>
            </w:r>
          </w:p>
        </w:tc>
      </w:tr>
      <w:tr w14:paraId="34385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5" w:hRule="atLeast"/>
          <w:jc w:val="center"/>
        </w:trPr>
        <w:tc>
          <w:tcPr>
            <w:tcW w:w="1646" w:type="dxa"/>
            <w:noWrap w:val="0"/>
            <w:vAlign w:val="center"/>
          </w:tcPr>
          <w:p w14:paraId="67F2FB3B">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tl w:val="0"/>
                <w:lang w:val="en-US" w:eastAsia="zh-CN"/>
              </w:rPr>
              <w:t>服务要求承诺（二）</w:t>
            </w:r>
          </w:p>
        </w:tc>
        <w:tc>
          <w:tcPr>
            <w:tcW w:w="1028" w:type="dxa"/>
            <w:noWrap w:val="0"/>
            <w:vAlign w:val="center"/>
          </w:tcPr>
          <w:p w14:paraId="148023CE">
            <w:pPr>
              <w:widowControl/>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12</w:t>
            </w:r>
            <w:r>
              <w:rPr>
                <w:rFonts w:hint="eastAsia" w:ascii="仿宋" w:hAnsi="仿宋" w:eastAsia="仿宋" w:cs="仿宋"/>
                <w:color w:val="auto"/>
                <w:szCs w:val="24"/>
                <w:highlight w:val="none"/>
              </w:rPr>
              <w:t>.00分</w:t>
            </w:r>
          </w:p>
        </w:tc>
        <w:tc>
          <w:tcPr>
            <w:tcW w:w="6597" w:type="dxa"/>
            <w:shd w:val="clear" w:color="auto" w:fill="auto"/>
            <w:noWrap w:val="0"/>
            <w:vAlign w:val="center"/>
          </w:tcPr>
          <w:p w14:paraId="48427004">
            <w:pPr>
              <w:keepNext w:val="0"/>
              <w:keepLines w:val="0"/>
              <w:pageBreakBefore w:val="0"/>
              <w:widowControl w:val="0"/>
              <w:spacing w:after="0" w:afterAutospacing="0" w:line="400" w:lineRule="exact"/>
              <w:jc w:val="left"/>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Cs w:val="24"/>
                <w:highlight w:val="none"/>
                <w:rtl w:val="0"/>
                <w:lang w:val="en-US" w:eastAsia="zh-CN"/>
              </w:rPr>
              <w:t>1、投标人承诺中标后按照“第四章、采购需求-十二、其他要求”的标准服务的，得12分。注：投标文件中需提供加盖本单位公章的承诺函电子件，格式见招标文件“第六章”，未提供不得分。</w:t>
            </w:r>
          </w:p>
        </w:tc>
      </w:tr>
      <w:tr w14:paraId="6889A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1" w:hRule="atLeast"/>
          <w:jc w:val="center"/>
        </w:trPr>
        <w:tc>
          <w:tcPr>
            <w:tcW w:w="1646" w:type="dxa"/>
            <w:noWrap w:val="0"/>
            <w:vAlign w:val="center"/>
          </w:tcPr>
          <w:p w14:paraId="379E885E">
            <w:pPr>
              <w:widowControl/>
              <w:jc w:val="left"/>
              <w:rPr>
                <w:rFonts w:hint="eastAsia" w:ascii="仿宋" w:hAnsi="仿宋" w:eastAsia="仿宋" w:cs="仿宋"/>
                <w:color w:val="auto"/>
                <w:szCs w:val="21"/>
                <w:highlight w:val="yellow"/>
                <w:rtl w:val="0"/>
                <w:lang w:val="en-US" w:eastAsia="zh-CN"/>
              </w:rPr>
            </w:pPr>
            <w:r>
              <w:rPr>
                <w:rFonts w:hint="eastAsia" w:ascii="仿宋" w:hAnsi="仿宋" w:eastAsia="仿宋" w:cs="仿宋"/>
                <w:color w:val="auto"/>
                <w:szCs w:val="21"/>
                <w:highlight w:val="none"/>
                <w:rtl w:val="0"/>
                <w:lang w:val="en-US" w:eastAsia="zh-CN"/>
              </w:rPr>
              <w:t>企业经营业绩</w:t>
            </w:r>
          </w:p>
        </w:tc>
        <w:tc>
          <w:tcPr>
            <w:tcW w:w="1028" w:type="dxa"/>
            <w:noWrap w:val="0"/>
            <w:vAlign w:val="center"/>
          </w:tcPr>
          <w:p w14:paraId="73D2A924">
            <w:pPr>
              <w:widowControl/>
              <w:jc w:val="center"/>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15.00分</w:t>
            </w:r>
          </w:p>
        </w:tc>
        <w:tc>
          <w:tcPr>
            <w:tcW w:w="6597" w:type="dxa"/>
            <w:noWrap w:val="0"/>
            <w:vAlign w:val="center"/>
          </w:tcPr>
          <w:p w14:paraId="16045DBE">
            <w:pPr>
              <w:widowControl/>
              <w:spacing w:line="400" w:lineRule="exact"/>
              <w:jc w:val="left"/>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Cs w:val="24"/>
                <w:highlight w:val="none"/>
                <w:rtl w:val="0"/>
                <w:lang w:val="en-US" w:eastAsia="zh-CN"/>
              </w:rPr>
              <w:t>投标人自2023年1月1日以来（以合同签订时间为准），具有类似（非住宅物业服务）物业服务项目业绩，每有一个得3分，本项最高得15分。</w:t>
            </w:r>
          </w:p>
          <w:p w14:paraId="55E87532">
            <w:pPr>
              <w:widowControl/>
              <w:spacing w:line="400" w:lineRule="exact"/>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tl w:val="0"/>
                <w:lang w:val="en-US" w:eastAsia="zh-CN"/>
              </w:rPr>
              <w:t>注：1、投标文件中提供合同、任意一张合同服务费发票电子件，未提供或提供不齐全不得分。2、中标人提供的有关业绩将随中标结果同步公开。</w:t>
            </w:r>
          </w:p>
        </w:tc>
      </w:tr>
      <w:tr w14:paraId="6BD66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1" w:hRule="atLeast"/>
          <w:jc w:val="center"/>
        </w:trPr>
        <w:tc>
          <w:tcPr>
            <w:tcW w:w="1646" w:type="dxa"/>
            <w:noWrap w:val="0"/>
            <w:vAlign w:val="center"/>
          </w:tcPr>
          <w:p w14:paraId="7AFC29E7">
            <w:pPr>
              <w:widowControl/>
              <w:jc w:val="left"/>
              <w:rPr>
                <w:rFonts w:hint="eastAsia" w:ascii="仿宋" w:hAnsi="仿宋" w:eastAsia="仿宋" w:cs="仿宋"/>
                <w:color w:val="auto"/>
                <w:szCs w:val="21"/>
                <w:highlight w:val="yellow"/>
                <w:rtl w:val="0"/>
                <w:lang w:val="en-US" w:eastAsia="zh-CN"/>
              </w:rPr>
            </w:pPr>
            <w:r>
              <w:rPr>
                <w:rFonts w:hint="eastAsia" w:ascii="仿宋" w:hAnsi="仿宋" w:eastAsia="仿宋" w:cs="仿宋"/>
                <w:color w:val="auto"/>
                <w:szCs w:val="21"/>
                <w:highlight w:val="none"/>
                <w:rtl w:val="0"/>
                <w:lang w:val="en-US" w:eastAsia="zh-CN"/>
              </w:rPr>
              <w:t>奖项</w:t>
            </w:r>
          </w:p>
        </w:tc>
        <w:tc>
          <w:tcPr>
            <w:tcW w:w="1028" w:type="dxa"/>
            <w:noWrap w:val="0"/>
            <w:vAlign w:val="center"/>
          </w:tcPr>
          <w:p w14:paraId="232DF3FE">
            <w:pPr>
              <w:widowControl/>
              <w:jc w:val="center"/>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3</w:t>
            </w:r>
            <w:r>
              <w:rPr>
                <w:rFonts w:hint="eastAsia" w:ascii="仿宋" w:hAnsi="仿宋" w:eastAsia="仿宋" w:cs="仿宋"/>
                <w:color w:val="auto"/>
                <w:szCs w:val="24"/>
                <w:highlight w:val="none"/>
              </w:rPr>
              <w:t>.00分</w:t>
            </w:r>
          </w:p>
        </w:tc>
        <w:tc>
          <w:tcPr>
            <w:tcW w:w="6597" w:type="dxa"/>
            <w:noWrap w:val="0"/>
            <w:vAlign w:val="center"/>
          </w:tcPr>
          <w:p w14:paraId="72B035D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0"/>
              <w:jc w:val="both"/>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投标人自2023年1月1日(以颁发日期为准)以来在物业管理方面获得县（区）级及以上人民政府或物业行业主管部门表彰的有一个得3分，本项最多得3分。</w:t>
            </w:r>
          </w:p>
          <w:p w14:paraId="2C79D4FA">
            <w:pPr>
              <w:keepNext w:val="0"/>
              <w:keepLines w:val="0"/>
              <w:pageBreakBefore w:val="0"/>
              <w:widowControl w:val="0"/>
              <w:spacing w:after="0" w:afterAutospacing="0" w:line="400" w:lineRule="exact"/>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注1、提供相关获奖证书或奖牌等证明材料扫描件，上述证明材料需体现投标人名称，未按要求提供不计分。2、中标人提供的有关业绩将随中标结果同步公开。</w:t>
            </w:r>
          </w:p>
        </w:tc>
      </w:tr>
      <w:tr w14:paraId="3EAF3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noWrap w:val="0"/>
            <w:vAlign w:val="center"/>
          </w:tcPr>
          <w:p w14:paraId="6DFB1B1A">
            <w:pPr>
              <w:widowControl/>
              <w:jc w:val="left"/>
              <w:rPr>
                <w:rFonts w:hint="eastAsia" w:ascii="仿宋" w:hAnsi="仿宋" w:eastAsia="仿宋" w:cs="仿宋"/>
                <w:color w:val="auto"/>
                <w:szCs w:val="21"/>
                <w:highlight w:val="none"/>
                <w:rtl w:val="0"/>
                <w:lang w:val="en-US" w:eastAsia="zh-CN"/>
              </w:rPr>
            </w:pPr>
            <w:r>
              <w:rPr>
                <w:rFonts w:hint="eastAsia" w:ascii="仿宋" w:hAnsi="仿宋" w:eastAsia="仿宋" w:cs="仿宋"/>
                <w:color w:val="auto"/>
                <w:szCs w:val="21"/>
                <w:highlight w:val="none"/>
                <w:rtl w:val="0"/>
                <w:lang w:val="en-US" w:eastAsia="zh-CN"/>
              </w:rPr>
              <w:t>相关证书</w:t>
            </w:r>
          </w:p>
        </w:tc>
        <w:tc>
          <w:tcPr>
            <w:tcW w:w="1028" w:type="dxa"/>
            <w:noWrap w:val="0"/>
            <w:vAlign w:val="center"/>
          </w:tcPr>
          <w:p w14:paraId="55B22A4D">
            <w:pPr>
              <w:widowControl/>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3</w:t>
            </w:r>
            <w:r>
              <w:rPr>
                <w:rFonts w:hint="eastAsia" w:ascii="仿宋" w:hAnsi="仿宋" w:eastAsia="仿宋" w:cs="仿宋"/>
                <w:color w:val="auto"/>
                <w:szCs w:val="24"/>
                <w:highlight w:val="none"/>
              </w:rPr>
              <w:t>.00分</w:t>
            </w:r>
          </w:p>
        </w:tc>
        <w:tc>
          <w:tcPr>
            <w:tcW w:w="6597" w:type="dxa"/>
            <w:noWrap w:val="0"/>
            <w:vAlign w:val="center"/>
          </w:tcPr>
          <w:p w14:paraId="76FB1DE0">
            <w:pPr>
              <w:widowControl/>
              <w:spacing w:line="400" w:lineRule="exact"/>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投标人具有有效期内的质量管理体系认证证书、环境管理体系认证证书、职业健康安全管理体系认证证书，每有一项得</w:t>
            </w:r>
            <w:r>
              <w:rPr>
                <w:rFonts w:hint="eastAsia" w:ascii="仿宋" w:hAnsi="仿宋" w:eastAsia="仿宋" w:cs="仿宋"/>
                <w:color w:val="auto"/>
                <w:sz w:val="21"/>
                <w:szCs w:val="24"/>
                <w:highlight w:val="none"/>
                <w:shd w:val="clear"/>
                <w:rtl w:val="0"/>
                <w:lang w:val="en-US" w:eastAsia="zh-CN" w:bidi="ar-SA"/>
              </w:rPr>
              <w:t>1</w:t>
            </w:r>
            <w:r>
              <w:rPr>
                <w:rFonts w:hint="eastAsia" w:ascii="仿宋" w:hAnsi="仿宋" w:eastAsia="仿宋" w:cs="仿宋"/>
                <w:color w:val="auto"/>
                <w:sz w:val="21"/>
                <w:szCs w:val="24"/>
                <w:highlight w:val="none"/>
                <w:rtl w:val="0"/>
                <w:lang w:val="en-US" w:eastAsia="zh-CN" w:bidi="ar-SA"/>
              </w:rPr>
              <w:t xml:space="preserve">分，本项最高得3分。 </w:t>
            </w:r>
          </w:p>
          <w:p w14:paraId="47F64974">
            <w:pPr>
              <w:widowControl/>
              <w:spacing w:line="400" w:lineRule="exact"/>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注：1、投标文件中提供上述相关证书电子件和在国家市场监督管理总局全国认证认可信息公共服务平台查询认证有效的页面截图，未提供的不得分。2、中标人提供的有关证书将随中标结果同步公开。</w:t>
            </w:r>
          </w:p>
        </w:tc>
      </w:tr>
      <w:tr w14:paraId="73C19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noWrap w:val="0"/>
            <w:vAlign w:val="center"/>
          </w:tcPr>
          <w:p w14:paraId="0609206C">
            <w:pPr>
              <w:widowControl/>
              <w:jc w:val="left"/>
              <w:rPr>
                <w:rFonts w:hint="eastAsia" w:ascii="仿宋" w:hAnsi="仿宋" w:eastAsia="仿宋" w:cs="仿宋"/>
                <w:color w:val="auto"/>
                <w:szCs w:val="21"/>
                <w:highlight w:val="none"/>
                <w:rtl w:val="0"/>
                <w:lang w:val="en-US" w:eastAsia="zh-CN"/>
              </w:rPr>
            </w:pPr>
            <w:r>
              <w:rPr>
                <w:rFonts w:hint="eastAsia" w:ascii="仿宋" w:hAnsi="仿宋" w:eastAsia="仿宋" w:cs="仿宋"/>
                <w:color w:val="auto"/>
                <w:szCs w:val="21"/>
                <w:highlight w:val="none"/>
                <w:rtl w:val="0"/>
                <w:lang w:val="en-US" w:eastAsia="zh-CN"/>
              </w:rPr>
              <w:t>项目组成员经验</w:t>
            </w:r>
          </w:p>
        </w:tc>
        <w:tc>
          <w:tcPr>
            <w:tcW w:w="1028" w:type="dxa"/>
            <w:noWrap w:val="0"/>
            <w:vAlign w:val="center"/>
          </w:tcPr>
          <w:p w14:paraId="4098A7BD">
            <w:pPr>
              <w:widowControl/>
              <w:jc w:val="center"/>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9</w:t>
            </w:r>
            <w:r>
              <w:rPr>
                <w:rFonts w:hint="eastAsia" w:ascii="仿宋" w:hAnsi="仿宋" w:eastAsia="仿宋" w:cs="仿宋"/>
                <w:color w:val="auto"/>
                <w:szCs w:val="24"/>
                <w:highlight w:val="none"/>
              </w:rPr>
              <w:t>.00分</w:t>
            </w:r>
          </w:p>
        </w:tc>
        <w:tc>
          <w:tcPr>
            <w:tcW w:w="6597" w:type="dxa"/>
            <w:noWrap w:val="0"/>
            <w:vAlign w:val="center"/>
          </w:tcPr>
          <w:p w14:paraId="67EEF3D1">
            <w:pPr>
              <w:widowControl/>
              <w:spacing w:line="400" w:lineRule="exact"/>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本项目拟选派的项目经理（或项目负责人）具有本科及以上学历得2分、具有专科学历得1分；具有5年及以上工作经验得2分，具有3年及以上工作经验得1分；本项最高得4分。（提供学历证书及学信网截图、工作经验证明扫描件）</w:t>
            </w:r>
          </w:p>
          <w:p w14:paraId="6A7456BE">
            <w:pPr>
              <w:widowControl/>
              <w:spacing w:line="400" w:lineRule="exact"/>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2、本项目拟选派的项目经理（或项目负责人）自2023年1月 1 日以来（以合同签订时间为准），具有类似（非住宅物业服务）物业服务项目业绩服务经验的，得3分。注：①提供业绩项目合同（合同中需明确显示项目经理（或项目负责人），合同中无法显示的，需同时提供合同甲方出具的加盖甲方公章的显示其姓名的服务证明材料电子件和任意一张合同服务费发票电子件，且提供2026年01月（含）以来供应商为上述人员缴纳的任意一个月社保证明（以社保主管部门出具的证明材料为准），未按要求提供或提供不全对应项不得分。②已在“企业业绩”评分项上计分的业绩，在“项目组成员经验”评分项上不再进行计分。③中标人提供的有关业绩将随中标结果同步公开。</w:t>
            </w:r>
          </w:p>
          <w:p w14:paraId="710137D3">
            <w:pPr>
              <w:widowControl/>
              <w:numPr>
                <w:ilvl w:val="0"/>
                <w:numId w:val="4"/>
              </w:numPr>
              <w:spacing w:line="400" w:lineRule="exact"/>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保洁员中具有有效的有害生物防治员职业资格证书（技能等级证书</w:t>
            </w:r>
            <w:r>
              <w:rPr>
                <w:rFonts w:hint="eastAsia" w:ascii="仿宋" w:hAnsi="仿宋" w:eastAsia="仿宋" w:cs="仿宋"/>
                <w:color w:val="auto"/>
                <w:sz w:val="21"/>
                <w:szCs w:val="24"/>
                <w:highlight w:val="none"/>
                <w:shd w:val="clear"/>
                <w:rtl w:val="0"/>
                <w:lang w:val="en-US" w:eastAsia="zh-CN" w:bidi="ar-SA"/>
              </w:rPr>
              <w:t>）</w:t>
            </w:r>
            <w:r>
              <w:rPr>
                <w:rFonts w:hint="eastAsia" w:ascii="仿宋" w:hAnsi="仿宋" w:eastAsia="仿宋" w:cs="仿宋"/>
                <w:color w:val="auto"/>
                <w:sz w:val="21"/>
                <w:szCs w:val="24"/>
                <w:highlight w:val="none"/>
                <w:rtl w:val="0"/>
                <w:lang w:val="en-US" w:eastAsia="zh-CN" w:bidi="ar-SA"/>
              </w:rPr>
              <w:t>五级/初级工得0.5分，四级/中级工得1分，三级/高级工及</w:t>
            </w:r>
            <w:r>
              <w:rPr>
                <w:rFonts w:hint="eastAsia" w:ascii="仿宋" w:hAnsi="仿宋" w:eastAsia="仿宋" w:cs="仿宋"/>
                <w:color w:val="auto"/>
                <w:sz w:val="21"/>
                <w:szCs w:val="24"/>
                <w:highlight w:val="none"/>
                <w:shd w:val="clear"/>
                <w:rtl w:val="0"/>
                <w:lang w:val="en-US" w:eastAsia="zh-CN" w:bidi="ar-SA"/>
              </w:rPr>
              <w:t>得1.5分，二级/技师及以上得2分，本项最多得2分。</w:t>
            </w:r>
            <w:r>
              <w:rPr>
                <w:rFonts w:hint="eastAsia" w:ascii="仿宋" w:hAnsi="仿宋" w:eastAsia="仿宋" w:cs="仿宋"/>
                <w:color w:val="auto"/>
                <w:sz w:val="21"/>
                <w:szCs w:val="24"/>
                <w:highlight w:val="none"/>
                <w:rtl w:val="0"/>
                <w:lang w:val="en-US" w:eastAsia="zh-CN" w:bidi="ar-SA"/>
              </w:rPr>
              <w:t>（提供相关证书扫描件）;</w:t>
            </w:r>
          </w:p>
          <w:p w14:paraId="4491DD4D">
            <w:pPr>
              <w:widowControl/>
              <w:spacing w:line="400" w:lineRule="exact"/>
              <w:jc w:val="left"/>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注：以上人员中标后必须在本项目上工作。</w:t>
            </w:r>
          </w:p>
        </w:tc>
      </w:tr>
      <w:tr w14:paraId="47B80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1646" w:type="dxa"/>
            <w:noWrap w:val="0"/>
            <w:vAlign w:val="center"/>
          </w:tcPr>
          <w:p w14:paraId="4C45CB39">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tl w:val="0"/>
                <w:lang w:val="en-US" w:eastAsia="zh-CN"/>
              </w:rPr>
              <w:t>进退场交接方案</w:t>
            </w:r>
          </w:p>
        </w:tc>
        <w:tc>
          <w:tcPr>
            <w:tcW w:w="1028" w:type="dxa"/>
            <w:noWrap w:val="0"/>
            <w:vAlign w:val="center"/>
          </w:tcPr>
          <w:p w14:paraId="2A548CA7">
            <w:pPr>
              <w:widowControl/>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5</w:t>
            </w:r>
            <w:r>
              <w:rPr>
                <w:rFonts w:hint="eastAsia" w:ascii="仿宋" w:hAnsi="仿宋" w:eastAsia="仿宋" w:cs="仿宋"/>
                <w:color w:val="auto"/>
                <w:szCs w:val="24"/>
                <w:highlight w:val="none"/>
              </w:rPr>
              <w:t>.00分</w:t>
            </w:r>
          </w:p>
        </w:tc>
        <w:tc>
          <w:tcPr>
            <w:tcW w:w="6597" w:type="dxa"/>
            <w:noWrap w:val="0"/>
            <w:vAlign w:val="center"/>
          </w:tcPr>
          <w:p w14:paraId="0ADCCFEF">
            <w:pPr>
              <w:widowControl/>
              <w:spacing w:line="400" w:lineRule="exact"/>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tl w:val="0"/>
                <w:lang w:val="en-US" w:eastAsia="zh-CN"/>
              </w:rPr>
              <w:t>在满足“第四章、采购需求第五条：（二）进退场交接”基础之上评委根据投标人提供的进退场交接方案进行打分。优于采购需求得5分；满足采购需求得3.5分；没有内容不得分。</w:t>
            </w:r>
          </w:p>
        </w:tc>
      </w:tr>
      <w:tr w14:paraId="6CCA0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noWrap w:val="0"/>
            <w:vAlign w:val="center"/>
          </w:tcPr>
          <w:p w14:paraId="30E911C7">
            <w:pPr>
              <w:widowControl/>
              <w:spacing w:line="400" w:lineRule="exact"/>
              <w:jc w:val="left"/>
              <w:rPr>
                <w:rFonts w:hint="eastAsia" w:ascii="仿宋" w:hAnsi="仿宋" w:eastAsia="仿宋" w:cs="仿宋"/>
                <w:color w:val="auto"/>
                <w:szCs w:val="24"/>
                <w:highlight w:val="none"/>
                <w:lang w:val="en-US" w:eastAsia="zh-CN"/>
              </w:rPr>
            </w:pPr>
            <w:r>
              <w:rPr>
                <w:rFonts w:hint="eastAsia" w:ascii="仿宋" w:hAnsi="仿宋" w:eastAsia="仿宋" w:cs="仿宋"/>
                <w:color w:val="auto"/>
                <w:szCs w:val="21"/>
                <w:highlight w:val="none"/>
                <w:rtl w:val="0"/>
                <w:lang w:val="en-US" w:eastAsia="zh-CN"/>
              </w:rPr>
              <w:t>设备、工具、服装要求</w:t>
            </w:r>
          </w:p>
        </w:tc>
        <w:tc>
          <w:tcPr>
            <w:tcW w:w="1028" w:type="dxa"/>
            <w:noWrap w:val="0"/>
            <w:vAlign w:val="center"/>
          </w:tcPr>
          <w:p w14:paraId="45BC939F">
            <w:pPr>
              <w:widowControl/>
              <w:spacing w:line="400" w:lineRule="exact"/>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5</w:t>
            </w:r>
            <w:r>
              <w:rPr>
                <w:rFonts w:hint="eastAsia" w:ascii="仿宋" w:hAnsi="仿宋" w:eastAsia="仿宋" w:cs="仿宋"/>
                <w:color w:val="auto"/>
                <w:szCs w:val="24"/>
                <w:highlight w:val="none"/>
              </w:rPr>
              <w:t>.00分</w:t>
            </w:r>
          </w:p>
        </w:tc>
        <w:tc>
          <w:tcPr>
            <w:tcW w:w="6597" w:type="dxa"/>
            <w:noWrap w:val="0"/>
            <w:vAlign w:val="center"/>
          </w:tcPr>
          <w:p w14:paraId="7EC6C9E8">
            <w:pPr>
              <w:widowControl/>
              <w:spacing w:line="400" w:lineRule="exact"/>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tl w:val="0"/>
                <w:lang w:val="en-US" w:eastAsia="zh-CN"/>
              </w:rPr>
              <w:t>在满足“第四章、采购需求第五条：（三）设备、工具、服装要求”基础之上，根据投标人对拟投入本项目设备、耗材、服装方面打分。优于采购需求得5分；满足采购需求得3.5分；没有内容不得分。</w:t>
            </w:r>
          </w:p>
        </w:tc>
      </w:tr>
      <w:tr w14:paraId="61866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shd w:val="clear" w:color="auto" w:fill="auto"/>
            <w:noWrap w:val="0"/>
            <w:vAlign w:val="center"/>
          </w:tcPr>
          <w:p w14:paraId="16701434">
            <w:pPr>
              <w:widowControl/>
              <w:jc w:val="left"/>
              <w:rPr>
                <w:rFonts w:hint="default" w:ascii="仿宋" w:hAnsi="仿宋" w:eastAsia="仿宋" w:cs="仿宋"/>
                <w:color w:val="auto"/>
                <w:sz w:val="21"/>
                <w:szCs w:val="21"/>
                <w:highlight w:val="none"/>
                <w:rtl w:val="0"/>
                <w:lang w:val="en-US" w:eastAsia="zh-CN" w:bidi="ar-SA"/>
              </w:rPr>
            </w:pPr>
            <w:r>
              <w:rPr>
                <w:rFonts w:hint="eastAsia" w:ascii="仿宋" w:hAnsi="仿宋" w:eastAsia="仿宋" w:cs="仿宋"/>
                <w:color w:val="auto"/>
                <w:szCs w:val="24"/>
                <w:highlight w:val="none"/>
                <w:rtl w:val="0"/>
                <w:lang w:val="en-US" w:eastAsia="zh-CN"/>
              </w:rPr>
              <w:t>特殊时期的应急保障方案</w:t>
            </w:r>
          </w:p>
        </w:tc>
        <w:tc>
          <w:tcPr>
            <w:tcW w:w="1028" w:type="dxa"/>
            <w:shd w:val="clear" w:color="auto" w:fill="auto"/>
            <w:noWrap w:val="0"/>
            <w:vAlign w:val="center"/>
          </w:tcPr>
          <w:p w14:paraId="573131D2">
            <w:pPr>
              <w:widowControl/>
              <w:spacing w:line="400" w:lineRule="exact"/>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Cs w:val="24"/>
                <w:highlight w:val="none"/>
                <w:rtl w:val="0"/>
                <w:lang w:val="en-US" w:eastAsia="zh-CN"/>
              </w:rPr>
              <w:t>5.00分</w:t>
            </w:r>
          </w:p>
        </w:tc>
        <w:tc>
          <w:tcPr>
            <w:tcW w:w="6597" w:type="dxa"/>
            <w:shd w:val="clear" w:color="auto" w:fill="auto"/>
            <w:noWrap w:val="0"/>
            <w:vAlign w:val="center"/>
          </w:tcPr>
          <w:p w14:paraId="0AE047B0">
            <w:pPr>
              <w:widowControl/>
              <w:spacing w:line="400" w:lineRule="exact"/>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Cs w:val="24"/>
                <w:highlight w:val="none"/>
                <w:rtl w:val="0"/>
                <w:lang w:val="en-US" w:eastAsia="zh-CN"/>
              </w:rPr>
              <w:t>在满足“第四章、采购需求第七条：特殊时期的应急保障方案”基础之上评委根据投标人提供的特殊时期的应急保障方案进行打分。优于采购需求得5分；满足采购需求得3.5分；没有内容不得分。</w:t>
            </w:r>
          </w:p>
        </w:tc>
      </w:tr>
      <w:tr w14:paraId="225E8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46" w:type="dxa"/>
            <w:noWrap w:val="0"/>
            <w:vAlign w:val="center"/>
          </w:tcPr>
          <w:p w14:paraId="1F3BFBEE">
            <w:pPr>
              <w:widowControl/>
              <w:jc w:val="left"/>
              <w:rPr>
                <w:rFonts w:hint="eastAsia" w:ascii="仿宋" w:hAnsi="仿宋" w:eastAsia="仿宋" w:cs="仿宋"/>
                <w:color w:val="auto"/>
                <w:szCs w:val="21"/>
                <w:highlight w:val="none"/>
                <w:rtl w:val="0"/>
                <w:lang w:val="en-US" w:eastAsia="zh-CN"/>
              </w:rPr>
            </w:pPr>
            <w:r>
              <w:rPr>
                <w:rFonts w:hint="eastAsia" w:ascii="仿宋" w:hAnsi="仿宋" w:eastAsia="仿宋" w:cs="仿宋"/>
                <w:color w:val="auto"/>
                <w:szCs w:val="21"/>
                <w:highlight w:val="none"/>
                <w:rtl w:val="0"/>
                <w:lang w:val="en-US" w:eastAsia="zh-CN"/>
              </w:rPr>
              <w:t>内部考核及培训方案</w:t>
            </w:r>
          </w:p>
        </w:tc>
        <w:tc>
          <w:tcPr>
            <w:tcW w:w="1028" w:type="dxa"/>
            <w:noWrap w:val="0"/>
            <w:vAlign w:val="center"/>
          </w:tcPr>
          <w:p w14:paraId="57E3DF12">
            <w:pPr>
              <w:widowControl/>
              <w:spacing w:line="400" w:lineRule="exact"/>
              <w:jc w:val="center"/>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Cs w:val="24"/>
                <w:highlight w:val="none"/>
                <w:rtl w:val="0"/>
                <w:lang w:val="en-US" w:eastAsia="zh-CN"/>
              </w:rPr>
              <w:t>5.00分</w:t>
            </w:r>
          </w:p>
        </w:tc>
        <w:tc>
          <w:tcPr>
            <w:tcW w:w="6597" w:type="dxa"/>
            <w:noWrap w:val="0"/>
            <w:vAlign w:val="center"/>
          </w:tcPr>
          <w:p w14:paraId="5A9DA92F">
            <w:pPr>
              <w:widowControl/>
              <w:spacing w:line="400" w:lineRule="exact"/>
              <w:jc w:val="left"/>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Cs w:val="24"/>
                <w:highlight w:val="none"/>
                <w:rtl w:val="0"/>
                <w:lang w:val="en-US" w:eastAsia="zh-CN"/>
              </w:rPr>
              <w:t xml:space="preserve">在满足“第四章、采购需求第八条：内部考核与培训”基础之上评委根据投标人提供的内部考核及培训方案进行打分。优于采购需求得5分；满足采购需求得3.5分；没有内容不得分。 </w:t>
            </w:r>
          </w:p>
        </w:tc>
      </w:tr>
    </w:tbl>
    <w:p w14:paraId="67E714B2">
      <w:pPr>
        <w:keepNext/>
        <w:keepLines/>
        <w:pageBreakBefore/>
        <w:jc w:val="center"/>
        <w:outlineLvl w:val="0"/>
        <w:rPr>
          <w:rFonts w:hint="eastAsia" w:ascii="仿宋" w:hAnsi="仿宋" w:eastAsia="仿宋" w:cs="仿宋"/>
          <w:b/>
          <w:color w:val="000000"/>
          <w:sz w:val="44"/>
          <w:szCs w:val="44"/>
        </w:rPr>
      </w:pPr>
      <w:bookmarkStart w:id="121" w:name="_Toc12255"/>
      <w:bookmarkStart w:id="122" w:name="_Toc81575205"/>
      <w:bookmarkStart w:id="123" w:name="_Toc81575168"/>
      <w:bookmarkStart w:id="124" w:name="_Toc2916"/>
      <w:bookmarkStart w:id="125" w:name="_Toc8500"/>
      <w:r>
        <w:rPr>
          <w:rFonts w:hint="eastAsia" w:ascii="仿宋" w:hAnsi="仿宋" w:eastAsia="仿宋" w:cs="仿宋"/>
          <w:b/>
          <w:color w:val="000000"/>
          <w:sz w:val="44"/>
          <w:szCs w:val="44"/>
        </w:rPr>
        <w:t>第四章  采购需求</w:t>
      </w:r>
      <w:bookmarkEnd w:id="121"/>
      <w:bookmarkEnd w:id="122"/>
      <w:bookmarkEnd w:id="123"/>
      <w:bookmarkEnd w:id="124"/>
      <w:bookmarkEnd w:id="125"/>
    </w:p>
    <w:p w14:paraId="7667655B">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采购标的清单</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68"/>
        <w:gridCol w:w="2319"/>
      </w:tblGrid>
      <w:tr w14:paraId="6335B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168" w:type="dxa"/>
            <w:noWrap w:val="0"/>
            <w:vAlign w:val="center"/>
          </w:tcPr>
          <w:p w14:paraId="521B58E4">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采购标的</w:t>
            </w:r>
          </w:p>
        </w:tc>
        <w:tc>
          <w:tcPr>
            <w:tcW w:w="2319" w:type="dxa"/>
            <w:noWrap w:val="0"/>
            <w:vAlign w:val="center"/>
          </w:tcPr>
          <w:p w14:paraId="6F706542">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对应中小企业</w:t>
            </w:r>
          </w:p>
          <w:p w14:paraId="53FEDEA5">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划分标准所属行业</w:t>
            </w:r>
          </w:p>
        </w:tc>
      </w:tr>
      <w:tr w14:paraId="2D20B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6168" w:type="dxa"/>
            <w:noWrap w:val="0"/>
            <w:vAlign w:val="top"/>
          </w:tcPr>
          <w:p w14:paraId="387E7BBE">
            <w:pPr>
              <w:tabs>
                <w:tab w:val="left" w:pos="2020"/>
              </w:tabs>
              <w:spacing w:line="48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泗洪县政务服务中心保洁服务采购项目</w:t>
            </w:r>
          </w:p>
        </w:tc>
        <w:tc>
          <w:tcPr>
            <w:tcW w:w="2319" w:type="dxa"/>
            <w:noWrap w:val="0"/>
            <w:vAlign w:val="center"/>
          </w:tcPr>
          <w:p w14:paraId="638B8E47">
            <w:pPr>
              <w:spacing w:line="480" w:lineRule="exact"/>
              <w:jc w:val="center"/>
              <w:rPr>
                <w:rFonts w:hint="eastAsia" w:ascii="仿宋" w:hAnsi="仿宋" w:eastAsia="仿宋" w:cs="仿宋"/>
                <w:sz w:val="24"/>
                <w:szCs w:val="24"/>
              </w:rPr>
            </w:pPr>
            <w:r>
              <w:rPr>
                <w:rFonts w:hint="eastAsia" w:ascii="仿宋" w:hAnsi="仿宋" w:eastAsia="仿宋" w:cs="仿宋"/>
                <w:color w:val="000000"/>
                <w:szCs w:val="21"/>
              </w:rPr>
              <w:t>物业管理</w:t>
            </w:r>
          </w:p>
        </w:tc>
      </w:tr>
    </w:tbl>
    <w:p w14:paraId="706A918F">
      <w:pPr>
        <w:pStyle w:val="3"/>
        <w:keepNext/>
        <w:keepLines/>
        <w:pageBreakBefore w:val="0"/>
        <w:widowControl w:val="0"/>
        <w:numPr>
          <w:ilvl w:val="0"/>
          <w:numId w:val="0"/>
        </w:numPr>
        <w:spacing w:before="0" w:after="0" w:line="240" w:lineRule="auto"/>
        <w:outlineLvl w:val="1"/>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一、项目概况</w:t>
      </w:r>
    </w:p>
    <w:p w14:paraId="545B8D5E">
      <w:pPr>
        <w:pStyle w:val="514"/>
        <w:keepNext w:val="0"/>
        <w:keepLines w:val="0"/>
        <w:pageBreakBefore w:val="0"/>
        <w:tabs>
          <w:tab w:val="left" w:pos="753"/>
        </w:tabs>
        <w:spacing w:line="500" w:lineRule="exact"/>
        <w:ind w:left="0" w:firstLine="482"/>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rPr>
        <w:t>1、项目名称：</w:t>
      </w:r>
      <w:r>
        <w:rPr>
          <w:rFonts w:hint="eastAsia" w:ascii="仿宋" w:hAnsi="仿宋" w:eastAsia="仿宋" w:cs="仿宋"/>
          <w:b w:val="0"/>
          <w:bCs w:val="0"/>
          <w:color w:val="auto"/>
          <w:sz w:val="24"/>
          <w:szCs w:val="24"/>
          <w:lang w:eastAsia="zh-CN"/>
        </w:rPr>
        <w:t>泗洪县政务服务中心保洁服务采购项目。</w:t>
      </w:r>
    </w:p>
    <w:p w14:paraId="7786C0CB">
      <w:pPr>
        <w:pStyle w:val="352"/>
        <w:keepNext w:val="0"/>
        <w:keepLines w:val="0"/>
        <w:pageBreakBefore w:val="0"/>
        <w:widowControl/>
        <w:spacing w:line="440" w:lineRule="exact"/>
        <w:ind w:firstLine="472"/>
        <w:jc w:val="lef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lang w:val="en-US" w:eastAsia="zh-CN" w:bidi="ar-SA"/>
        </w:rPr>
        <w:t>2、项目内容</w:t>
      </w: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val="0"/>
          <w:color w:val="auto"/>
          <w:sz w:val="24"/>
          <w:szCs w:val="24"/>
          <w:lang w:val="en-US" w:eastAsia="zh-CN" w:bidi="ar-SA"/>
        </w:rPr>
        <w:t>为进一步规范政务服务中心办公楼保洁事项，为政务服务中心办公楼提供优质后勤保障工作，保持政务服务中心办公楼良好办公环境，拟将政务服务中心办公楼保洁服务进行外包，要求能及时、高效、提供优质服务。</w:t>
      </w:r>
    </w:p>
    <w:p w14:paraId="073048AC">
      <w:pPr>
        <w:pStyle w:val="514"/>
        <w:keepNext w:val="0"/>
        <w:keepLines w:val="0"/>
        <w:pageBreakBefore w:val="0"/>
        <w:tabs>
          <w:tab w:val="left" w:pos="753"/>
        </w:tabs>
        <w:spacing w:line="500" w:lineRule="exact"/>
        <w:ind w:left="0" w:firstLine="482"/>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3、项目预算</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000000"/>
          <w:sz w:val="24"/>
          <w:szCs w:val="24"/>
          <w:lang w:val="en-US" w:eastAsia="zh-CN"/>
        </w:rPr>
        <w:t>三年总预算187.2万元（62.4</w:t>
      </w:r>
      <w:r>
        <w:rPr>
          <w:rFonts w:hint="eastAsia" w:ascii="仿宋" w:hAnsi="仿宋" w:eastAsia="仿宋" w:cs="仿宋"/>
          <w:color w:val="000000"/>
          <w:sz w:val="24"/>
          <w:szCs w:val="24"/>
        </w:rPr>
        <w:t>万元</w:t>
      </w:r>
      <w:r>
        <w:rPr>
          <w:rFonts w:hint="eastAsia" w:ascii="仿宋" w:hAnsi="仿宋" w:eastAsia="仿宋" w:cs="仿宋"/>
          <w:color w:val="000000"/>
          <w:sz w:val="24"/>
          <w:szCs w:val="24"/>
          <w:lang w:val="en-US" w:eastAsia="zh-CN"/>
        </w:rPr>
        <w:t>/年）</w:t>
      </w:r>
      <w:r>
        <w:rPr>
          <w:rFonts w:hint="eastAsia" w:ascii="仿宋" w:hAnsi="仿宋" w:eastAsia="仿宋" w:cs="仿宋"/>
          <w:b w:val="0"/>
          <w:bCs w:val="0"/>
          <w:color w:val="auto"/>
          <w:sz w:val="24"/>
          <w:szCs w:val="24"/>
          <w:lang w:val="en-US" w:eastAsia="zh-CN"/>
        </w:rPr>
        <w:t>。</w:t>
      </w:r>
    </w:p>
    <w:p w14:paraId="3BD4936F">
      <w:pPr>
        <w:pStyle w:val="514"/>
        <w:keepNext w:val="0"/>
        <w:keepLines w:val="0"/>
        <w:pageBreakBefore w:val="0"/>
        <w:tabs>
          <w:tab w:val="left" w:pos="753"/>
        </w:tabs>
        <w:spacing w:line="500" w:lineRule="exact"/>
        <w:ind w:left="0" w:firstLine="482"/>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4、本项目设定最高限价，最高限价为：</w:t>
      </w:r>
      <w:r>
        <w:rPr>
          <w:rFonts w:hint="eastAsia" w:ascii="仿宋" w:hAnsi="仿宋" w:eastAsia="仿宋" w:cs="仿宋"/>
          <w:color w:val="000000"/>
          <w:sz w:val="24"/>
          <w:szCs w:val="24"/>
          <w:lang w:val="en-US" w:eastAsia="zh-CN"/>
        </w:rPr>
        <w:t>62.4</w:t>
      </w:r>
      <w:r>
        <w:rPr>
          <w:rFonts w:hint="eastAsia" w:ascii="仿宋" w:hAnsi="仿宋" w:eastAsia="仿宋" w:cs="仿宋"/>
          <w:color w:val="000000"/>
          <w:sz w:val="24"/>
          <w:szCs w:val="24"/>
        </w:rPr>
        <w:t>万元</w:t>
      </w:r>
      <w:r>
        <w:rPr>
          <w:rFonts w:hint="eastAsia" w:ascii="仿宋" w:hAnsi="仿宋" w:eastAsia="仿宋" w:cs="仿宋"/>
          <w:color w:val="000000"/>
          <w:sz w:val="24"/>
          <w:szCs w:val="24"/>
          <w:lang w:val="en-US" w:eastAsia="zh-CN"/>
        </w:rPr>
        <w:t>/年。</w:t>
      </w:r>
    </w:p>
    <w:p w14:paraId="295F11F1">
      <w:pPr>
        <w:pStyle w:val="514"/>
        <w:keepNext w:val="0"/>
        <w:keepLines w:val="0"/>
        <w:pageBreakBefore w:val="0"/>
        <w:tabs>
          <w:tab w:val="left" w:pos="753"/>
        </w:tabs>
        <w:spacing w:line="500" w:lineRule="exact"/>
        <w:ind w:left="0" w:firstLine="482"/>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5</w:t>
      </w:r>
      <w:r>
        <w:rPr>
          <w:rFonts w:hint="eastAsia" w:ascii="仿宋" w:hAnsi="仿宋" w:eastAsia="仿宋" w:cs="仿宋"/>
          <w:b/>
          <w:bCs/>
          <w:color w:val="auto"/>
          <w:sz w:val="24"/>
          <w:szCs w:val="24"/>
        </w:rPr>
        <w:t>、</w:t>
      </w:r>
      <w:r>
        <w:rPr>
          <w:rFonts w:hint="eastAsia" w:ascii="仿宋" w:hAnsi="仿宋" w:eastAsia="仿宋" w:cs="仿宋"/>
          <w:b/>
          <w:bCs/>
          <w:color w:val="auto"/>
          <w:sz w:val="24"/>
          <w:szCs w:val="24"/>
          <w:lang w:val="en-US" w:eastAsia="zh-CN"/>
        </w:rPr>
        <w:t>合同履行期限</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三年。</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合同一年一签，</w:t>
      </w:r>
      <w:r>
        <w:rPr>
          <w:rFonts w:hint="eastAsia" w:ascii="仿宋" w:hAnsi="仿宋" w:eastAsia="仿宋" w:cs="仿宋"/>
          <w:b/>
          <w:bCs/>
          <w:color w:val="auto"/>
          <w:sz w:val="24"/>
          <w:lang w:val="en-US" w:eastAsia="zh-CN"/>
        </w:rPr>
        <w:t>第一年合同期满后，如双方无异议，可按照中标金额续签合同，最长服务期限不超过三年。）</w:t>
      </w:r>
    </w:p>
    <w:p w14:paraId="7B2F1265">
      <w:pPr>
        <w:pStyle w:val="499"/>
        <w:keepNext w:val="0"/>
        <w:keepLines w:val="0"/>
        <w:pageBreakBefore w:val="0"/>
        <w:numPr>
          <w:ilvl w:val="0"/>
          <w:numId w:val="0"/>
        </w:numPr>
        <w:spacing w:line="500" w:lineRule="exact"/>
        <w:ind w:firstLine="482"/>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bidi="ar-SA"/>
        </w:rPr>
        <w:t>6、付款方式</w:t>
      </w:r>
      <w:r>
        <w:rPr>
          <w:rFonts w:hint="eastAsia" w:ascii="仿宋" w:hAnsi="仿宋" w:eastAsia="仿宋" w:cs="仿宋"/>
          <w:b w:val="0"/>
          <w:bCs w:val="0"/>
          <w:color w:val="auto"/>
          <w:sz w:val="24"/>
          <w:szCs w:val="24"/>
        </w:rPr>
        <w:t>：采购合同签订后，收到供应商发票</w:t>
      </w:r>
      <w:r>
        <w:rPr>
          <w:rFonts w:hint="eastAsia" w:ascii="仿宋" w:hAnsi="仿宋" w:eastAsia="仿宋" w:cs="仿宋"/>
          <w:b w:val="0"/>
          <w:bCs w:val="0"/>
          <w:color w:val="auto"/>
          <w:sz w:val="24"/>
          <w:szCs w:val="24"/>
          <w:lang w:val="en-US" w:eastAsia="zh-CN"/>
        </w:rPr>
        <w:t>10</w:t>
      </w:r>
      <w:r>
        <w:rPr>
          <w:rFonts w:hint="eastAsia" w:ascii="仿宋" w:hAnsi="仿宋" w:eastAsia="仿宋" w:cs="仿宋"/>
          <w:b w:val="0"/>
          <w:bCs w:val="0"/>
          <w:color w:val="auto"/>
          <w:sz w:val="24"/>
          <w:szCs w:val="24"/>
        </w:rPr>
        <w:t>个工作日内预付合同价款的10%；</w:t>
      </w:r>
    </w:p>
    <w:p w14:paraId="5942E888">
      <w:pPr>
        <w:pStyle w:val="499"/>
        <w:keepNext w:val="0"/>
        <w:keepLines w:val="0"/>
        <w:pageBreakBefore w:val="0"/>
        <w:numPr>
          <w:ilvl w:val="0"/>
          <w:numId w:val="0"/>
        </w:numPr>
        <w:spacing w:line="500" w:lineRule="exact"/>
        <w:ind w:firstLine="48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注：在签订合同时，供应商明确表示无需预付款或者主动要求降低预付款比例的，采购人可不适用预付规定。</w:t>
      </w:r>
    </w:p>
    <w:p w14:paraId="644D65B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进度款：</w:t>
      </w:r>
      <w:r>
        <w:rPr>
          <w:rFonts w:hint="eastAsia" w:ascii="仿宋" w:hAnsi="仿宋" w:eastAsia="仿宋" w:cs="仿宋"/>
          <w:b w:val="0"/>
          <w:bCs w:val="0"/>
          <w:color w:val="auto"/>
          <w:sz w:val="24"/>
          <w:szCs w:val="24"/>
          <w:lang w:val="en-US" w:eastAsia="zh-CN" w:bidi="ar-SA"/>
        </w:rPr>
        <w:t>按月支付，根据考核情况，扣除考核罚金后按月据实结算（不足一月的按月服务费/月天数*实际服务天数结算），乙方于每月20日前向甲方出具上月服务费发票，甲方收到乙方发票后10个工作日内支付上月保洁服务费。（</w:t>
      </w:r>
      <w:r>
        <w:rPr>
          <w:rFonts w:hint="eastAsia" w:ascii="仿宋" w:hAnsi="仿宋" w:eastAsia="仿宋" w:cs="仿宋"/>
          <w:b w:val="0"/>
          <w:bCs w:val="0"/>
          <w:color w:val="auto"/>
          <w:sz w:val="24"/>
          <w:szCs w:val="24"/>
        </w:rPr>
        <w:t>预付款</w:t>
      </w:r>
      <w:r>
        <w:rPr>
          <w:rFonts w:hint="eastAsia" w:ascii="仿宋" w:hAnsi="仿宋" w:eastAsia="仿宋" w:cs="仿宋"/>
          <w:b w:val="0"/>
          <w:bCs w:val="0"/>
          <w:color w:val="auto"/>
          <w:sz w:val="24"/>
          <w:szCs w:val="24"/>
          <w:lang w:val="en-US" w:eastAsia="zh-CN"/>
        </w:rPr>
        <w:t>从第一次支付进度款中开始扣除</w:t>
      </w:r>
      <w:r>
        <w:rPr>
          <w:rFonts w:hint="eastAsia" w:ascii="仿宋" w:hAnsi="仿宋" w:eastAsia="仿宋" w:cs="仿宋"/>
          <w:b w:val="0"/>
          <w:bCs w:val="0"/>
          <w:color w:val="auto"/>
          <w:sz w:val="24"/>
          <w:szCs w:val="24"/>
        </w:rPr>
        <w:t>，扣完为止</w:t>
      </w:r>
      <w:r>
        <w:rPr>
          <w:rFonts w:hint="eastAsia" w:ascii="仿宋" w:hAnsi="仿宋" w:eastAsia="仿宋" w:cs="仿宋"/>
          <w:b w:val="0"/>
          <w:bCs w:val="0"/>
          <w:color w:val="auto"/>
          <w:sz w:val="24"/>
          <w:szCs w:val="24"/>
          <w:lang w:eastAsia="zh-CN"/>
        </w:rPr>
        <w:t>）</w:t>
      </w:r>
    </w:p>
    <w:p w14:paraId="236374CE">
      <w:pPr>
        <w:keepNext w:val="0"/>
        <w:keepLines w:val="0"/>
        <w:pageBreakBefore w:val="0"/>
        <w:widowControl w:val="0"/>
        <w:kinsoku/>
        <w:wordWrap/>
        <w:overflowPunct/>
        <w:topLinePunct w:val="0"/>
        <w:autoSpaceDE/>
        <w:autoSpaceDN/>
        <w:bidi w:val="0"/>
        <w:adjustRightInd/>
        <w:snapToGrid/>
        <w:spacing w:before="181" w:beforeLines="50" w:line="360" w:lineRule="auto"/>
        <w:ind w:firstLine="482"/>
        <w:textAlignment w:val="auto"/>
        <w:rPr>
          <w:rFonts w:hint="eastAsia" w:ascii="仿宋" w:hAnsi="仿宋" w:eastAsia="仿宋" w:cs="仿宋"/>
          <w:b/>
          <w:bCs/>
          <w:color w:val="auto"/>
          <w:sz w:val="24"/>
          <w:szCs w:val="24"/>
          <w:lang w:val="en-US" w:eastAsia="zh-CN" w:bidi="ar-SA"/>
        </w:rPr>
      </w:pPr>
      <w:r>
        <w:rPr>
          <w:rFonts w:hint="eastAsia" w:ascii="仿宋" w:hAnsi="仿宋" w:eastAsia="仿宋" w:cs="仿宋"/>
          <w:b w:val="0"/>
          <w:bCs w:val="0"/>
          <w:color w:val="auto"/>
          <w:sz w:val="24"/>
          <w:szCs w:val="24"/>
          <w:lang w:val="en-US" w:eastAsia="zh-CN" w:bidi="ar-SA"/>
        </w:rPr>
        <w:t>款项支付的其它相关要求</w:t>
      </w:r>
    </w:p>
    <w:p w14:paraId="59A0D90B">
      <w:pPr>
        <w:pStyle w:val="352"/>
        <w:keepNext w:val="0"/>
        <w:keepLines w:val="0"/>
        <w:pageBreakBefore w:val="0"/>
        <w:widowControl/>
        <w:spacing w:line="440" w:lineRule="exact"/>
        <w:ind w:firstLine="472"/>
        <w:jc w:val="left"/>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1）采购人按照中标人实际投入人员数量及各单项人均费用并经考核完成后据实结算。合同期间，如增减服务范围，按实际增减的人员和单项人均单价调整服务价款。供应商未按要求向采购人提供发票的，采购人有权不予付款，直至发票按要求提供正确为止。且采购人有权从应付款项中直接扣除应由供应商承担的违约金及其他相关款项。</w:t>
      </w:r>
    </w:p>
    <w:p w14:paraId="37F40A93">
      <w:pPr>
        <w:pStyle w:val="352"/>
        <w:keepNext w:val="0"/>
        <w:keepLines w:val="0"/>
        <w:pageBreakBefore w:val="0"/>
        <w:widowControl/>
        <w:spacing w:line="440" w:lineRule="exact"/>
        <w:ind w:firstLine="472"/>
        <w:jc w:val="left"/>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（2）每次付款前依据考核标准，扣除应扣款项后支付应付费用，根据考核结果据实支付。</w:t>
      </w:r>
    </w:p>
    <w:p w14:paraId="5B056327">
      <w:pPr>
        <w:pStyle w:val="352"/>
        <w:keepNext w:val="0"/>
        <w:keepLines w:val="0"/>
        <w:pageBreakBefore w:val="0"/>
        <w:widowControl/>
        <w:spacing w:line="440" w:lineRule="exact"/>
        <w:ind w:firstLine="472"/>
        <w:jc w:val="left"/>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（3）供应商向采购人提交符合要求的发票，符合付款条件的，采购人将按规定支付合同款。采购人在付款完成后将款项支付相关材料存档备案，随时接受监管部门检查。</w:t>
      </w:r>
    </w:p>
    <w:p w14:paraId="3F5A45D2">
      <w:pPr>
        <w:pStyle w:val="352"/>
        <w:keepNext w:val="0"/>
        <w:keepLines w:val="0"/>
        <w:pageBreakBefore w:val="0"/>
        <w:widowControl/>
        <w:spacing w:line="440" w:lineRule="exact"/>
        <w:ind w:firstLine="472"/>
        <w:jc w:val="left"/>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（4）供应商如有违反《劳动法》等相关规定的，报相关主管部门处理。</w:t>
      </w:r>
    </w:p>
    <w:p w14:paraId="4D42C641">
      <w:pPr>
        <w:pStyle w:val="352"/>
        <w:keepNext w:val="0"/>
        <w:keepLines w:val="0"/>
        <w:pageBreakBefore w:val="0"/>
        <w:widowControl/>
        <w:spacing w:line="440" w:lineRule="exact"/>
        <w:ind w:firstLine="472"/>
        <w:jc w:val="left"/>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5）项目履约过程中，如成交供应商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5万元并追究违约责任。</w:t>
      </w:r>
    </w:p>
    <w:p w14:paraId="54FB951E">
      <w:pPr>
        <w:widowControl w:val="0"/>
        <w:spacing w:before="0" w:after="0" w:line="480" w:lineRule="atLeast"/>
        <w:ind w:firstLine="480"/>
        <w:jc w:val="both"/>
        <w:rPr>
          <w:rFonts w:hint="eastAsia" w:ascii="仿宋" w:hAnsi="仿宋" w:eastAsia="仿宋" w:cs="仿宋"/>
          <w:sz w:val="24"/>
          <w:szCs w:val="24"/>
          <w:lang w:eastAsia="zh-CN"/>
        </w:rPr>
      </w:pPr>
      <w:r>
        <w:rPr>
          <w:rFonts w:hint="eastAsia" w:ascii="仿宋" w:hAnsi="仿宋" w:eastAsia="仿宋" w:cs="仿宋"/>
          <w:b/>
          <w:bCs/>
          <w:color w:val="auto"/>
          <w:sz w:val="24"/>
          <w:szCs w:val="24"/>
          <w:lang w:val="en-US" w:eastAsia="zh-CN" w:bidi="ar-SA"/>
        </w:rPr>
        <w:t>7、服务地点</w:t>
      </w:r>
      <w:r>
        <w:rPr>
          <w:rFonts w:hint="eastAsia" w:ascii="仿宋" w:hAnsi="仿宋" w:eastAsia="仿宋" w:cs="仿宋"/>
          <w:sz w:val="24"/>
          <w:szCs w:val="24"/>
          <w:lang w:eastAsia="zh-CN"/>
        </w:rPr>
        <w:t>：采购人指定地点。</w:t>
      </w:r>
    </w:p>
    <w:p w14:paraId="4EB81996">
      <w:pPr>
        <w:widowControl w:val="0"/>
        <w:spacing w:before="0" w:after="0" w:line="480" w:lineRule="atLeast"/>
        <w:ind w:firstLine="480"/>
        <w:jc w:val="both"/>
        <w:rPr>
          <w:rFonts w:hint="eastAsia"/>
        </w:rPr>
      </w:pPr>
      <w:r>
        <w:rPr>
          <w:rFonts w:hint="eastAsia" w:ascii="仿宋" w:hAnsi="仿宋" w:eastAsia="仿宋" w:cs="仿宋"/>
          <w:b/>
          <w:bCs/>
          <w:color w:val="auto"/>
          <w:sz w:val="24"/>
          <w:szCs w:val="24"/>
          <w:lang w:val="en-US" w:eastAsia="zh-CN" w:bidi="ar-SA"/>
        </w:rPr>
        <w:t>8、服务质量</w:t>
      </w:r>
      <w:r>
        <w:rPr>
          <w:rFonts w:hint="eastAsia" w:ascii="仿宋" w:hAnsi="仿宋" w:eastAsia="仿宋" w:cs="仿宋"/>
          <w:sz w:val="24"/>
          <w:szCs w:val="24"/>
          <w:lang w:val="en-US" w:eastAsia="zh-CN"/>
        </w:rPr>
        <w:t>：合格。</w:t>
      </w:r>
    </w:p>
    <w:p w14:paraId="1DC4766C">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二、服务范围</w:t>
      </w:r>
    </w:p>
    <w:p w14:paraId="5C0518CF">
      <w:pPr>
        <w:pStyle w:val="52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仿宋_GB2312" w:hAnsi="方正仿宋_GB2312" w:eastAsia="方正仿宋_GB2312" w:cs="方正仿宋_GB2312"/>
          <w:b/>
          <w:bCs/>
          <w:color w:val="auto"/>
          <w:sz w:val="24"/>
          <w:szCs w:val="24"/>
          <w:lang w:val="zh-CN" w:eastAsia="zh-CN"/>
        </w:rPr>
      </w:pPr>
      <w:r>
        <w:rPr>
          <w:rFonts w:hint="eastAsia" w:ascii="仿宋" w:hAnsi="仿宋" w:eastAsia="仿宋" w:cs="仿宋"/>
          <w:b w:val="0"/>
          <w:bCs w:val="0"/>
          <w:color w:val="auto"/>
          <w:sz w:val="24"/>
          <w:szCs w:val="24"/>
          <w:lang w:val="en-US" w:eastAsia="zh-CN" w:bidi="ar-SA"/>
        </w:rPr>
        <w:t>政务服务中心办公楼内公共区域：垃圾收集及清理外运、楼梯台阶、大厅、</w:t>
      </w:r>
      <w:r>
        <w:rPr>
          <w:rFonts w:hint="eastAsia" w:ascii="方正仿宋_GB2312" w:hAnsi="方正仿宋_GB2312" w:eastAsia="方正仿宋_GB2312" w:cs="方正仿宋_GB2312"/>
          <w:color w:val="auto"/>
          <w:sz w:val="24"/>
          <w:szCs w:val="24"/>
          <w:lang w:val="en-US" w:eastAsia="zh-CN" w:bidi="ar-SA"/>
        </w:rPr>
        <w:t>公共卫生间、楼层所有区域、房间和大楼各个会议室及其他公共场所、消火栓、宣传栏、指示牌、信报箱；办公楼外公共区域：道路地面、垃圾箱（桶）、果皮箱、设备用房、停车场（机动车、非机动车停放处）。</w:t>
      </w:r>
      <w:r>
        <w:rPr>
          <w:rFonts w:hint="eastAsia" w:ascii="方正仿宋_GB2312" w:hAnsi="方正仿宋_GB2312" w:eastAsia="方正仿宋_GB2312" w:cs="方正仿宋_GB2312"/>
          <w:b/>
          <w:bCs/>
          <w:color w:val="auto"/>
          <w:sz w:val="24"/>
          <w:szCs w:val="24"/>
          <w:lang w:val="en-US" w:eastAsia="zh-CN" w:bidi="ar-SA"/>
        </w:rPr>
        <w:t>（</w:t>
      </w:r>
      <w:r>
        <w:rPr>
          <w:rFonts w:hint="eastAsia" w:ascii="方正仿宋_GB2312" w:hAnsi="方正仿宋_GB2312" w:eastAsia="方正仿宋_GB2312" w:cs="方正仿宋_GB2312"/>
          <w:b/>
          <w:bCs/>
          <w:color w:val="auto"/>
          <w:sz w:val="24"/>
          <w:szCs w:val="24"/>
          <w:lang w:val="zh-CN" w:eastAsia="zh-CN"/>
        </w:rPr>
        <w:t>工作人员个人办公室内部不在保洁范围内）</w:t>
      </w:r>
    </w:p>
    <w:p w14:paraId="0ACA7729">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三、人员配备及职责（此项需提供承诺函）</w:t>
      </w:r>
    </w:p>
    <w:p w14:paraId="6542DE5F">
      <w:pPr>
        <w:keepNext w:val="0"/>
        <w:keepLines w:val="0"/>
        <w:pageBreakBefore w:val="0"/>
        <w:spacing w:line="480" w:lineRule="exact"/>
        <w:ind w:left="0" w:right="0" w:firstLine="482"/>
        <w:jc w:val="left"/>
        <w:rPr>
          <w:rFonts w:hint="eastAsia" w:ascii="仿宋" w:hAnsi="仿宋" w:eastAsia="仿宋" w:cs="仿宋"/>
          <w:b/>
          <w:bCs/>
          <w:sz w:val="24"/>
          <w:szCs w:val="24"/>
          <w:lang w:eastAsia="zh-CN"/>
        </w:rPr>
      </w:pPr>
      <w:r>
        <w:rPr>
          <w:rFonts w:hint="eastAsia" w:ascii="仿宋" w:hAnsi="仿宋" w:eastAsia="仿宋" w:cs="仿宋"/>
          <w:b/>
          <w:bCs/>
          <w:sz w:val="24"/>
          <w:szCs w:val="24"/>
        </w:rPr>
        <w:t>1</w:t>
      </w:r>
      <w:r>
        <w:rPr>
          <w:rFonts w:hint="eastAsia" w:ascii="仿宋" w:hAnsi="仿宋" w:eastAsia="仿宋" w:cs="仿宋"/>
          <w:b/>
          <w:bCs/>
          <w:sz w:val="24"/>
          <w:szCs w:val="24"/>
          <w:lang w:eastAsia="zh-CN"/>
        </w:rPr>
        <w:t>、</w:t>
      </w:r>
      <w:r>
        <w:rPr>
          <w:rFonts w:hint="eastAsia" w:ascii="仿宋" w:hAnsi="仿宋" w:eastAsia="仿宋" w:cs="仿宋"/>
          <w:b/>
          <w:bCs/>
          <w:sz w:val="24"/>
          <w:szCs w:val="24"/>
        </w:rPr>
        <w:t>人员配备</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共20人</w:t>
      </w:r>
      <w:r>
        <w:rPr>
          <w:rFonts w:hint="eastAsia" w:ascii="仿宋" w:hAnsi="仿宋" w:eastAsia="仿宋" w:cs="仿宋"/>
          <w:b/>
          <w:bCs/>
          <w:sz w:val="24"/>
          <w:szCs w:val="24"/>
          <w:lang w:eastAsia="zh-CN"/>
        </w:rPr>
        <w:t>）</w:t>
      </w:r>
    </w:p>
    <w:tbl>
      <w:tblPr>
        <w:tblStyle w:val="41"/>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3105"/>
        <w:gridCol w:w="2535"/>
        <w:gridCol w:w="1455"/>
      </w:tblGrid>
      <w:tr w14:paraId="32B8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945" w:type="dxa"/>
            <w:noWrap w:val="0"/>
            <w:vAlign w:val="center"/>
          </w:tcPr>
          <w:p w14:paraId="1C6EB26C">
            <w:pPr>
              <w:pStyle w:val="523"/>
              <w:spacing w:line="240" w:lineRule="auto"/>
              <w:ind w:left="0" w:firstLine="0"/>
              <w:jc w:val="center"/>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序号</w:t>
            </w:r>
          </w:p>
        </w:tc>
        <w:tc>
          <w:tcPr>
            <w:tcW w:w="3105" w:type="dxa"/>
            <w:noWrap w:val="0"/>
            <w:vAlign w:val="center"/>
          </w:tcPr>
          <w:p w14:paraId="121308D9">
            <w:pPr>
              <w:pStyle w:val="523"/>
              <w:spacing w:line="240" w:lineRule="auto"/>
              <w:ind w:left="0" w:firstLine="0"/>
              <w:jc w:val="center"/>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岗位</w:t>
            </w:r>
          </w:p>
        </w:tc>
        <w:tc>
          <w:tcPr>
            <w:tcW w:w="2535" w:type="dxa"/>
            <w:noWrap w:val="0"/>
            <w:vAlign w:val="center"/>
          </w:tcPr>
          <w:p w14:paraId="74352D9C">
            <w:pPr>
              <w:pStyle w:val="523"/>
              <w:spacing w:line="240" w:lineRule="auto"/>
              <w:ind w:left="0" w:firstLine="0"/>
              <w:jc w:val="center"/>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人数（人）</w:t>
            </w:r>
          </w:p>
        </w:tc>
        <w:tc>
          <w:tcPr>
            <w:tcW w:w="1455" w:type="dxa"/>
            <w:noWrap w:val="0"/>
            <w:vAlign w:val="center"/>
          </w:tcPr>
          <w:p w14:paraId="2B722C53">
            <w:pPr>
              <w:pStyle w:val="523"/>
              <w:spacing w:line="240" w:lineRule="auto"/>
              <w:ind w:left="0" w:firstLine="0"/>
              <w:jc w:val="center"/>
              <w:rPr>
                <w:rFonts w:hint="default"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备注</w:t>
            </w:r>
          </w:p>
        </w:tc>
      </w:tr>
      <w:tr w14:paraId="007A3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45" w:type="dxa"/>
            <w:noWrap w:val="0"/>
            <w:vAlign w:val="center"/>
          </w:tcPr>
          <w:p w14:paraId="333CD493">
            <w:pPr>
              <w:pStyle w:val="523"/>
              <w:keepNext w:val="0"/>
              <w:keepLines w:val="0"/>
              <w:pageBreakBefore w:val="0"/>
              <w:widowControl w:val="0"/>
              <w:spacing w:after="0" w:line="240" w:lineRule="auto"/>
              <w:ind w:left="0" w:firstLine="0"/>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w:t>
            </w:r>
          </w:p>
        </w:tc>
        <w:tc>
          <w:tcPr>
            <w:tcW w:w="3105" w:type="dxa"/>
            <w:noWrap w:val="0"/>
            <w:vAlign w:val="center"/>
          </w:tcPr>
          <w:p w14:paraId="02FBD9C4">
            <w:pPr>
              <w:pStyle w:val="523"/>
              <w:keepNext w:val="0"/>
              <w:keepLines w:val="0"/>
              <w:pageBreakBefore w:val="0"/>
              <w:widowControl w:val="0"/>
              <w:spacing w:after="0" w:line="240" w:lineRule="auto"/>
              <w:ind w:left="0" w:firstLine="0"/>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项目负责人</w:t>
            </w:r>
          </w:p>
        </w:tc>
        <w:tc>
          <w:tcPr>
            <w:tcW w:w="2535" w:type="dxa"/>
            <w:noWrap w:val="0"/>
            <w:vAlign w:val="center"/>
          </w:tcPr>
          <w:p w14:paraId="75E91605">
            <w:pPr>
              <w:pStyle w:val="523"/>
              <w:keepNext w:val="0"/>
              <w:keepLines w:val="0"/>
              <w:pageBreakBefore w:val="0"/>
              <w:widowControl w:val="0"/>
              <w:spacing w:after="0" w:line="240" w:lineRule="auto"/>
              <w:ind w:left="0" w:firstLine="0"/>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w:t>
            </w:r>
          </w:p>
        </w:tc>
        <w:tc>
          <w:tcPr>
            <w:tcW w:w="1455" w:type="dxa"/>
            <w:noWrap w:val="0"/>
            <w:vAlign w:val="center"/>
          </w:tcPr>
          <w:p w14:paraId="25B59C46">
            <w:pPr>
              <w:pStyle w:val="523"/>
              <w:keepNext w:val="0"/>
              <w:keepLines w:val="0"/>
              <w:pageBreakBefore w:val="0"/>
              <w:widowControl w:val="0"/>
              <w:spacing w:after="0" w:line="240" w:lineRule="auto"/>
              <w:ind w:left="0" w:firstLine="0"/>
              <w:jc w:val="center"/>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w:t>
            </w:r>
          </w:p>
        </w:tc>
      </w:tr>
      <w:tr w14:paraId="37FA5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45" w:type="dxa"/>
            <w:noWrap w:val="0"/>
            <w:vAlign w:val="center"/>
          </w:tcPr>
          <w:p w14:paraId="744377B6">
            <w:pPr>
              <w:pStyle w:val="523"/>
              <w:keepNext w:val="0"/>
              <w:keepLines w:val="0"/>
              <w:pageBreakBefore w:val="0"/>
              <w:widowControl w:val="0"/>
              <w:spacing w:after="0" w:line="240" w:lineRule="auto"/>
              <w:ind w:left="0" w:firstLine="0"/>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w:t>
            </w:r>
          </w:p>
        </w:tc>
        <w:tc>
          <w:tcPr>
            <w:tcW w:w="3105" w:type="dxa"/>
            <w:noWrap w:val="0"/>
            <w:vAlign w:val="center"/>
          </w:tcPr>
          <w:p w14:paraId="09AE7C79">
            <w:pPr>
              <w:pStyle w:val="523"/>
              <w:keepNext w:val="0"/>
              <w:keepLines w:val="0"/>
              <w:pageBreakBefore w:val="0"/>
              <w:widowControl w:val="0"/>
              <w:spacing w:after="0" w:line="240" w:lineRule="auto"/>
              <w:ind w:left="0" w:firstLine="0"/>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保洁员</w:t>
            </w:r>
          </w:p>
        </w:tc>
        <w:tc>
          <w:tcPr>
            <w:tcW w:w="2535" w:type="dxa"/>
            <w:noWrap w:val="0"/>
            <w:vAlign w:val="center"/>
          </w:tcPr>
          <w:p w14:paraId="6637272E">
            <w:pPr>
              <w:pStyle w:val="523"/>
              <w:keepNext w:val="0"/>
              <w:keepLines w:val="0"/>
              <w:pageBreakBefore w:val="0"/>
              <w:widowControl w:val="0"/>
              <w:spacing w:after="0" w:line="240" w:lineRule="auto"/>
              <w:ind w:left="0" w:firstLine="0"/>
              <w:jc w:val="center"/>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19</w:t>
            </w:r>
          </w:p>
        </w:tc>
        <w:tc>
          <w:tcPr>
            <w:tcW w:w="1455" w:type="dxa"/>
            <w:noWrap w:val="0"/>
            <w:vAlign w:val="center"/>
          </w:tcPr>
          <w:p w14:paraId="7BA4E7E8">
            <w:pPr>
              <w:pStyle w:val="523"/>
              <w:keepNext w:val="0"/>
              <w:keepLines w:val="0"/>
              <w:pageBreakBefore w:val="0"/>
              <w:widowControl w:val="0"/>
              <w:spacing w:after="0" w:line="240" w:lineRule="auto"/>
              <w:ind w:left="0" w:firstLine="0"/>
              <w:jc w:val="center"/>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w:t>
            </w:r>
          </w:p>
        </w:tc>
      </w:tr>
      <w:tr w14:paraId="4C6CD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040" w:type="dxa"/>
            <w:gridSpan w:val="4"/>
            <w:noWrap w:val="0"/>
            <w:vAlign w:val="center"/>
          </w:tcPr>
          <w:p w14:paraId="774EB295">
            <w:pPr>
              <w:numPr>
                <w:ilvl w:val="0"/>
                <w:numId w:val="0"/>
              </w:numPr>
              <w:spacing w:line="500" w:lineRule="exact"/>
              <w:rPr>
                <w:rFonts w:hint="default"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项目负责人年龄50周岁（含）以下，保洁人员年龄58周岁（含）以下（以身份证为准）</w:t>
            </w:r>
          </w:p>
          <w:p w14:paraId="77E12177">
            <w:pPr>
              <w:numPr>
                <w:ilvl w:val="0"/>
                <w:numId w:val="0"/>
              </w:numPr>
              <w:spacing w:line="500" w:lineRule="exact"/>
              <w:rPr>
                <w:rFonts w:hint="eastAsia" w:ascii="仿宋" w:hAnsi="仿宋" w:eastAsia="仿宋" w:cs="仿宋"/>
                <w:b/>
                <w:bCs/>
                <w:sz w:val="24"/>
                <w:szCs w:val="24"/>
                <w:lang w:val="en-US" w:eastAsia="zh-CN" w:bidi="ar-SA"/>
              </w:rPr>
            </w:pPr>
            <w:r>
              <w:rPr>
                <w:rFonts w:hint="eastAsia"/>
                <w:color w:val="000000"/>
                <w:lang w:bidi="ar"/>
              </w:rPr>
              <w:t>★</w:t>
            </w:r>
            <w:r>
              <w:rPr>
                <w:rFonts w:hint="eastAsia" w:ascii="仿宋" w:hAnsi="仿宋" w:eastAsia="仿宋" w:cs="仿宋"/>
                <w:b/>
                <w:bCs/>
                <w:sz w:val="24"/>
                <w:szCs w:val="24"/>
                <w:lang w:val="en-US" w:eastAsia="zh-CN" w:bidi="ar-SA"/>
              </w:rPr>
              <w:t>以上人员配备为最低要求，不接受负偏离，响应文件中提供全部响应要求的承诺函电子件（加盖公章，承诺函格式附后），否则按无效标处理。</w:t>
            </w:r>
          </w:p>
          <w:p w14:paraId="7D988E82">
            <w:pPr>
              <w:pStyle w:val="523"/>
              <w:keepNext w:val="0"/>
              <w:keepLines w:val="0"/>
              <w:pageBreakBefore w:val="0"/>
              <w:widowControl w:val="0"/>
              <w:spacing w:after="0" w:line="240" w:lineRule="auto"/>
              <w:ind w:left="0" w:firstLine="0"/>
              <w:jc w:val="both"/>
              <w:rPr>
                <w:rFonts w:hint="eastAsia" w:ascii="方正仿宋_GBK" w:hAnsi="方正仿宋_GBK" w:eastAsia="方正仿宋_GBK" w:cs="方正仿宋_GBK"/>
                <w:caps w:val="0"/>
                <w:color w:val="auto"/>
                <w:spacing w:val="-2"/>
                <w:sz w:val="24"/>
                <w:szCs w:val="24"/>
                <w:lang w:val="en-US" w:eastAsia="zh-CN" w:bidi="ar-SA"/>
              </w:rPr>
            </w:pPr>
          </w:p>
        </w:tc>
      </w:tr>
    </w:tbl>
    <w:p w14:paraId="38BC2C2A">
      <w:pPr>
        <w:keepNext w:val="0"/>
        <w:keepLines w:val="0"/>
        <w:pageBreakBefore w:val="0"/>
        <w:widowControl/>
        <w:spacing w:line="480" w:lineRule="exact"/>
        <w:ind w:left="0" w:right="0" w:firstLine="482"/>
        <w:rPr>
          <w:rFonts w:hint="eastAsia" w:ascii="仿宋" w:hAnsi="仿宋" w:eastAsia="仿宋" w:cs="仿宋"/>
          <w:b/>
          <w:bCs/>
          <w:sz w:val="24"/>
          <w:szCs w:val="24"/>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、日常出勤</w:t>
      </w:r>
    </w:p>
    <w:p w14:paraId="7C60188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全年</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上午07：00-11：00，下午13：30--17：30（每天上午8点前所有公共区域卫生一次大扫结束，全天循环保洁）。</w:t>
      </w:r>
    </w:p>
    <w:p w14:paraId="580A2599">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四、人员素质要求</w:t>
      </w:r>
    </w:p>
    <w:p w14:paraId="2F60E920">
      <w:pPr>
        <w:keepNext w:val="0"/>
        <w:keepLines w:val="0"/>
        <w:pageBreakBefore w:val="0"/>
        <w:widowControl/>
        <w:spacing w:line="480" w:lineRule="exact"/>
        <w:ind w:left="0" w:right="0" w:firstLine="48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1、项目负责人：具</w:t>
      </w:r>
      <w:r>
        <w:rPr>
          <w:rFonts w:hint="eastAsia" w:ascii="仿宋" w:hAnsi="仿宋" w:eastAsia="仿宋" w:cs="仿宋"/>
          <w:b w:val="0"/>
          <w:bCs w:val="0"/>
          <w:sz w:val="24"/>
          <w:szCs w:val="24"/>
          <w:lang w:val="en-US" w:eastAsia="zh-CN"/>
        </w:rPr>
        <w:t>有较强的组织、沟通、协调及服务能力，主要负责人员的管理、监督、培训、考核和协调工作。</w:t>
      </w:r>
    </w:p>
    <w:p w14:paraId="21011090">
      <w:pPr>
        <w:pStyle w:val="6"/>
        <w:spacing w:line="560" w:lineRule="exact"/>
        <w:ind w:firstLine="472"/>
        <w:jc w:val="left"/>
        <w:rPr>
          <w:rFonts w:hint="eastAsia" w:ascii="方正仿宋_GBK" w:hAnsi="方正仿宋_GBK" w:eastAsia="方正仿宋_GBK" w:cs="方正仿宋_GBK"/>
          <w:caps w:val="0"/>
          <w:color w:val="auto"/>
          <w:spacing w:val="-2"/>
          <w:sz w:val="24"/>
          <w:szCs w:val="24"/>
          <w:lang w:val="en-US" w:eastAsia="zh-CN" w:bidi="ar-SA"/>
        </w:rPr>
      </w:pPr>
      <w:r>
        <w:rPr>
          <w:rFonts w:hint="eastAsia" w:ascii="仿宋" w:hAnsi="仿宋" w:eastAsia="仿宋" w:cs="仿宋"/>
          <w:b w:val="0"/>
          <w:bCs w:val="0"/>
          <w:sz w:val="24"/>
          <w:szCs w:val="24"/>
          <w:lang w:val="en-US" w:eastAsia="zh-CN"/>
        </w:rPr>
        <w:t>2、保洁员：</w:t>
      </w:r>
      <w:r>
        <w:rPr>
          <w:rFonts w:hint="eastAsia" w:ascii="仿宋" w:hAnsi="仿宋" w:eastAsia="仿宋" w:cs="仿宋"/>
          <w:b w:val="0"/>
          <w:bCs w:val="0"/>
          <w:sz w:val="24"/>
          <w:szCs w:val="24"/>
          <w:lang w:val="en-US" w:eastAsia="zh-CN" w:bidi="ar-SA"/>
        </w:rPr>
        <w:t>品行良好，具备相关工作经验；身体健康，无心脑血管</w:t>
      </w:r>
      <w:r>
        <w:rPr>
          <w:rFonts w:hint="eastAsia" w:ascii="仿宋" w:hAnsi="仿宋" w:eastAsia="仿宋" w:cs="仿宋"/>
          <w:b w:val="0"/>
          <w:bCs w:val="0"/>
          <w:sz w:val="24"/>
          <w:szCs w:val="24"/>
          <w:lang w:val="en-US" w:eastAsia="zh-CN"/>
        </w:rPr>
        <w:t>及传染疾病，有吃苦耐劳精神，</w:t>
      </w:r>
      <w:r>
        <w:rPr>
          <w:rFonts w:hint="eastAsia" w:ascii="仿宋" w:hAnsi="仿宋" w:eastAsia="仿宋" w:cs="仿宋"/>
          <w:b w:val="0"/>
          <w:bCs w:val="0"/>
          <w:sz w:val="24"/>
          <w:szCs w:val="24"/>
          <w:lang w:val="en-US" w:eastAsia="zh-CN" w:bidi="ar-SA"/>
        </w:rPr>
        <w:t>责任心强；无刑事处罚记录；具有小学（含）以上文化程度；保洁员要文明服务，礼貌待人对工作认真负责。负责办公楼内、外公共区域的保洁工作。上岗时着装整齐、统一、规范，按标准完成各项服务范围内以及采购人安排的任务。按照相关标准做好保洁本职工作。雨雪天气要及时对物业服务范围内道路和硬铺地面的积水、积雪进行清扫。对辖区内各类公共设施设备破损及楼梯间灯不亮等问题，及时向办公室或相关责任人报告。</w:t>
      </w:r>
    </w:p>
    <w:p w14:paraId="326D83E5">
      <w:pPr>
        <w:widowControl/>
        <w:spacing w:line="560" w:lineRule="exact"/>
        <w:ind w:firstLine="482"/>
        <w:jc w:val="left"/>
        <w:rPr>
          <w:rFonts w:hint="eastAsia" w:ascii="仿宋" w:hAnsi="仿宋" w:eastAsia="仿宋" w:cs="仿宋"/>
          <w:b w:val="0"/>
          <w:bCs w:val="0"/>
          <w:sz w:val="24"/>
          <w:szCs w:val="24"/>
          <w:lang w:val="en-US" w:eastAsia="zh-CN" w:bidi="ar-SA"/>
        </w:rPr>
      </w:pPr>
      <w:r>
        <w:rPr>
          <w:rFonts w:hint="eastAsia" w:ascii="仿宋" w:hAnsi="仿宋" w:eastAsia="仿宋" w:cs="仿宋"/>
          <w:b/>
          <w:bCs/>
          <w:sz w:val="24"/>
          <w:szCs w:val="24"/>
          <w:lang w:val="en-US" w:eastAsia="zh-CN" w:bidi="ar-SA"/>
        </w:rPr>
        <w:t>注：</w:t>
      </w:r>
      <w:r>
        <w:rPr>
          <w:rFonts w:hint="eastAsia" w:ascii="仿宋" w:hAnsi="仿宋" w:eastAsia="仿宋" w:cs="仿宋"/>
          <w:b w:val="0"/>
          <w:bCs w:val="0"/>
          <w:sz w:val="24"/>
          <w:szCs w:val="24"/>
          <w:lang w:val="en-US" w:eastAsia="zh-CN" w:bidi="ar-SA"/>
        </w:rPr>
        <w:t>（1）成交后项目组成员按要求依法签订劳动合同。所有人员进场前采购人将对其是否有违法犯罪记录进行审查，审查不通过不予留用，不得兼职。</w:t>
      </w:r>
    </w:p>
    <w:p w14:paraId="52DA79BB">
      <w:pPr>
        <w:widowControl/>
        <w:spacing w:line="560" w:lineRule="exact"/>
        <w:ind w:firstLine="482"/>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（2）采购方有权根据工作表现、工作需求提出更换人员，供应商需在采购方提出需求一个月内完成人员更换，并完成更换人员的费用结算。</w:t>
      </w:r>
    </w:p>
    <w:p w14:paraId="64919AF6">
      <w:pPr>
        <w:widowControl/>
        <w:spacing w:line="560" w:lineRule="exact"/>
        <w:ind w:firstLine="482"/>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（3）所有人员均须有健康证，无重大疾病和传染病，均无犯罪记录，未受过刑事处罚。</w:t>
      </w:r>
    </w:p>
    <w:p w14:paraId="45E83279">
      <w:pPr>
        <w:widowControl/>
        <w:spacing w:line="560" w:lineRule="exact"/>
        <w:ind w:firstLine="482"/>
        <w:jc w:val="lef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4）如因供应商项目组成员疏忽或失职造成贵重物品被盗、毁坏或发生重大安全事故，供应商承担一切赔偿责任。履约期间，如若发生项目组成员工伤或遇项目组成员人身伤亡事故，均由中标人负责，与采购方无关。</w:t>
      </w:r>
    </w:p>
    <w:p w14:paraId="293A61DB">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eastAsia" w:ascii="仿宋" w:hAnsi="仿宋" w:eastAsia="仿宋" w:cs="仿宋"/>
          <w:b/>
          <w:bCs/>
          <w:sz w:val="24"/>
          <w:szCs w:val="24"/>
        </w:rPr>
      </w:pPr>
      <w:r>
        <w:rPr>
          <w:rFonts w:hint="eastAsia" w:ascii="仿宋" w:hAnsi="仿宋" w:eastAsia="仿宋" w:cs="仿宋"/>
          <w:b/>
          <w:sz w:val="28"/>
          <w:szCs w:val="28"/>
          <w:lang w:val="en-US" w:eastAsia="zh-CN"/>
        </w:rPr>
        <w:t>五、保洁服务管理要求、进退场交接、设备等要求</w:t>
      </w:r>
    </w:p>
    <w:p w14:paraId="342DC876">
      <w:pPr>
        <w:spacing w:line="480" w:lineRule="exact"/>
        <w:ind w:left="0" w:right="0" w:firstLine="482"/>
        <w:jc w:val="left"/>
        <w:rPr>
          <w:rFonts w:hint="eastAsia"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）保洁</w:t>
      </w:r>
      <w:r>
        <w:rPr>
          <w:rFonts w:hint="eastAsia" w:ascii="仿宋" w:hAnsi="仿宋" w:eastAsia="仿宋" w:cs="仿宋"/>
          <w:b/>
          <w:bCs/>
          <w:sz w:val="24"/>
          <w:szCs w:val="24"/>
          <w:lang w:val="en-US" w:eastAsia="zh-CN"/>
        </w:rPr>
        <w:t>服务</w:t>
      </w:r>
      <w:r>
        <w:rPr>
          <w:rFonts w:hint="eastAsia" w:ascii="仿宋" w:hAnsi="仿宋" w:eastAsia="仿宋" w:cs="仿宋"/>
          <w:b/>
          <w:bCs/>
          <w:sz w:val="24"/>
          <w:szCs w:val="24"/>
        </w:rPr>
        <w:t>管理</w:t>
      </w:r>
      <w:r>
        <w:rPr>
          <w:rFonts w:hint="eastAsia" w:ascii="仿宋" w:hAnsi="仿宋" w:eastAsia="仿宋" w:cs="仿宋"/>
          <w:b/>
          <w:bCs/>
          <w:sz w:val="24"/>
          <w:szCs w:val="24"/>
          <w:lang w:val="en-US" w:eastAsia="zh-CN"/>
        </w:rPr>
        <w:t>（此项需提供承诺函）</w:t>
      </w:r>
    </w:p>
    <w:p w14:paraId="511EB15C">
      <w:pPr>
        <w:pStyle w:val="47"/>
        <w:rPr>
          <w:rFonts w:hint="eastAsia"/>
          <w:lang w:val="en-US" w:eastAsia="zh-CN"/>
        </w:rPr>
      </w:pPr>
    </w:p>
    <w:p w14:paraId="7A8C0451">
      <w:pPr>
        <w:rPr>
          <w:rFonts w:hint="default"/>
          <w:lang w:val="en-US" w:eastAsia="zh-CN"/>
        </w:rPr>
      </w:pPr>
    </w:p>
    <w:tbl>
      <w:tblPr>
        <w:tblStyle w:val="40"/>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
        <w:gridCol w:w="1185"/>
        <w:gridCol w:w="1650"/>
        <w:gridCol w:w="6053"/>
      </w:tblGrid>
      <w:tr w14:paraId="1E581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737" w:type="dxa"/>
            <w:noWrap w:val="0"/>
            <w:vAlign w:val="center"/>
          </w:tcPr>
          <w:p w14:paraId="1E5C3B6F">
            <w:pPr>
              <w:pStyle w:val="522"/>
              <w:spacing w:line="360" w:lineRule="auto"/>
              <w:jc w:val="center"/>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序号</w:t>
            </w:r>
          </w:p>
        </w:tc>
        <w:tc>
          <w:tcPr>
            <w:tcW w:w="1185" w:type="dxa"/>
            <w:noWrap w:val="0"/>
            <w:vAlign w:val="center"/>
          </w:tcPr>
          <w:p w14:paraId="2C98E45D">
            <w:pPr>
              <w:pStyle w:val="522"/>
              <w:spacing w:line="360" w:lineRule="auto"/>
              <w:jc w:val="center"/>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服务场地</w:t>
            </w:r>
          </w:p>
        </w:tc>
        <w:tc>
          <w:tcPr>
            <w:tcW w:w="1650" w:type="dxa"/>
            <w:noWrap w:val="0"/>
            <w:vAlign w:val="center"/>
          </w:tcPr>
          <w:p w14:paraId="3A851F44">
            <w:pPr>
              <w:pStyle w:val="522"/>
              <w:spacing w:line="360" w:lineRule="auto"/>
              <w:jc w:val="center"/>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服务内容</w:t>
            </w:r>
          </w:p>
        </w:tc>
        <w:tc>
          <w:tcPr>
            <w:tcW w:w="6053" w:type="dxa"/>
            <w:noWrap w:val="0"/>
            <w:vAlign w:val="center"/>
          </w:tcPr>
          <w:p w14:paraId="6F902928">
            <w:pPr>
              <w:pStyle w:val="522"/>
              <w:spacing w:line="360" w:lineRule="auto"/>
              <w:jc w:val="center"/>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服务标准</w:t>
            </w:r>
          </w:p>
        </w:tc>
      </w:tr>
      <w:tr w14:paraId="006B3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jc w:val="center"/>
        </w:trPr>
        <w:tc>
          <w:tcPr>
            <w:tcW w:w="737" w:type="dxa"/>
            <w:vMerge w:val="restart"/>
            <w:noWrap w:val="0"/>
            <w:vAlign w:val="center"/>
          </w:tcPr>
          <w:p w14:paraId="43B1D605">
            <w:pPr>
              <w:pStyle w:val="522"/>
              <w:spacing w:line="360" w:lineRule="auto"/>
              <w:jc w:val="center"/>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w:t>
            </w:r>
          </w:p>
        </w:tc>
        <w:tc>
          <w:tcPr>
            <w:tcW w:w="1185" w:type="dxa"/>
            <w:vMerge w:val="restart"/>
            <w:noWrap w:val="0"/>
            <w:vAlign w:val="center"/>
          </w:tcPr>
          <w:p w14:paraId="5D323794">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基本要求</w:t>
            </w:r>
          </w:p>
        </w:tc>
        <w:tc>
          <w:tcPr>
            <w:tcW w:w="1650" w:type="dxa"/>
            <w:noWrap w:val="0"/>
            <w:vAlign w:val="bottom"/>
          </w:tcPr>
          <w:p w14:paraId="00AA6C35">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着装要求</w:t>
            </w:r>
          </w:p>
        </w:tc>
        <w:tc>
          <w:tcPr>
            <w:tcW w:w="6053" w:type="dxa"/>
            <w:noWrap w:val="0"/>
            <w:vAlign w:val="bottom"/>
          </w:tcPr>
          <w:p w14:paraId="0F2FAFB9">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须统一着装，挂牌上岗，仪表整洁规范。</w:t>
            </w:r>
          </w:p>
        </w:tc>
      </w:tr>
      <w:tr w14:paraId="67069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737" w:type="dxa"/>
            <w:vMerge w:val="continue"/>
            <w:noWrap w:val="0"/>
            <w:vAlign w:val="center"/>
          </w:tcPr>
          <w:p w14:paraId="16E0967D">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52BBDC30">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bottom"/>
          </w:tcPr>
          <w:p w14:paraId="3D54FE5B">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工作计划</w:t>
            </w:r>
          </w:p>
        </w:tc>
        <w:tc>
          <w:tcPr>
            <w:tcW w:w="6053" w:type="dxa"/>
            <w:noWrap w:val="0"/>
            <w:vAlign w:val="bottom"/>
          </w:tcPr>
          <w:p w14:paraId="0F30796F">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制定保洁工作计划并组织实施，每月向委托方报告一次计划实施情况。</w:t>
            </w:r>
          </w:p>
        </w:tc>
      </w:tr>
      <w:tr w14:paraId="2DBD2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737" w:type="dxa"/>
            <w:vMerge w:val="continue"/>
            <w:noWrap w:val="0"/>
            <w:vAlign w:val="center"/>
          </w:tcPr>
          <w:p w14:paraId="79241D81">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286F217D">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bottom"/>
          </w:tcPr>
          <w:p w14:paraId="30501F95">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服务规范</w:t>
            </w:r>
          </w:p>
        </w:tc>
        <w:tc>
          <w:tcPr>
            <w:tcW w:w="6053" w:type="dxa"/>
            <w:noWrap w:val="0"/>
            <w:vAlign w:val="bottom"/>
          </w:tcPr>
          <w:p w14:paraId="2DF90080">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应符合行业相关标准。做到文明服务、优质服务。</w:t>
            </w:r>
          </w:p>
        </w:tc>
      </w:tr>
      <w:tr w14:paraId="2EA92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737" w:type="dxa"/>
            <w:vMerge w:val="continue"/>
            <w:noWrap w:val="0"/>
            <w:vAlign w:val="center"/>
          </w:tcPr>
          <w:p w14:paraId="165C45F1">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0BD78E13">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center"/>
          </w:tcPr>
          <w:p w14:paraId="378F4E86">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管理制度</w:t>
            </w:r>
          </w:p>
        </w:tc>
        <w:tc>
          <w:tcPr>
            <w:tcW w:w="6053" w:type="dxa"/>
            <w:noWrap w:val="0"/>
            <w:vAlign w:val="bottom"/>
          </w:tcPr>
          <w:p w14:paraId="7A955E1C">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1、有明确的值班制度和交接班制度，工作有记录。</w:t>
            </w:r>
          </w:p>
          <w:p w14:paraId="3F55046D">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2、制定管理处内部管理制度、考核制度和培训制度。</w:t>
            </w:r>
          </w:p>
        </w:tc>
      </w:tr>
      <w:tr w14:paraId="4BE74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737" w:type="dxa"/>
            <w:vMerge w:val="continue"/>
            <w:noWrap w:val="0"/>
            <w:vAlign w:val="center"/>
          </w:tcPr>
          <w:p w14:paraId="0FCD85CF">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208B33AF">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bottom"/>
          </w:tcPr>
          <w:p w14:paraId="2D50DE78">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满意度调查</w:t>
            </w:r>
          </w:p>
        </w:tc>
        <w:tc>
          <w:tcPr>
            <w:tcW w:w="6053" w:type="dxa"/>
            <w:noWrap w:val="0"/>
            <w:vAlign w:val="bottom"/>
          </w:tcPr>
          <w:p w14:paraId="6C27BE4F">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每年进行满意情况普测，对测评结果分析并及时整改。</w:t>
            </w:r>
          </w:p>
        </w:tc>
      </w:tr>
      <w:tr w14:paraId="6C258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737" w:type="dxa"/>
            <w:vMerge w:val="continue"/>
            <w:noWrap w:val="0"/>
            <w:vAlign w:val="center"/>
          </w:tcPr>
          <w:p w14:paraId="6472BED5">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54116721">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bottom"/>
          </w:tcPr>
          <w:p w14:paraId="74641DC9">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其他</w:t>
            </w:r>
          </w:p>
        </w:tc>
        <w:tc>
          <w:tcPr>
            <w:tcW w:w="6053" w:type="dxa"/>
            <w:noWrap w:val="0"/>
            <w:vAlign w:val="bottom"/>
          </w:tcPr>
          <w:p w14:paraId="6F066102">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综合管理的其它服务项目达到约定的服务标准。</w:t>
            </w:r>
          </w:p>
        </w:tc>
      </w:tr>
      <w:tr w14:paraId="100F8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9" w:hRule="atLeast"/>
          <w:jc w:val="center"/>
        </w:trPr>
        <w:tc>
          <w:tcPr>
            <w:tcW w:w="737" w:type="dxa"/>
            <w:vMerge w:val="restart"/>
            <w:noWrap w:val="0"/>
            <w:vAlign w:val="center"/>
          </w:tcPr>
          <w:p w14:paraId="2AE2B431">
            <w:pPr>
              <w:pStyle w:val="522"/>
              <w:spacing w:line="360" w:lineRule="auto"/>
              <w:jc w:val="center"/>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w:t>
            </w:r>
          </w:p>
        </w:tc>
        <w:tc>
          <w:tcPr>
            <w:tcW w:w="1185" w:type="dxa"/>
            <w:vMerge w:val="restart"/>
            <w:noWrap w:val="0"/>
            <w:vAlign w:val="center"/>
          </w:tcPr>
          <w:p w14:paraId="5C305535">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办公楼内公共区域</w:t>
            </w:r>
          </w:p>
          <w:p w14:paraId="66BDA611">
            <w:pPr>
              <w:pStyle w:val="522"/>
              <w:spacing w:line="360" w:lineRule="auto"/>
              <w:jc w:val="center"/>
              <w:rPr>
                <w:rFonts w:hint="eastAsia" w:ascii="仿宋" w:hAnsi="仿宋" w:eastAsia="仿宋" w:cs="仿宋"/>
                <w:color w:val="auto"/>
                <w:sz w:val="21"/>
                <w:szCs w:val="24"/>
                <w:highlight w:val="none"/>
                <w:rtl w:val="0"/>
                <w:lang w:val="en-US" w:eastAsia="zh-CN" w:bidi="ar-SA"/>
              </w:rPr>
            </w:pPr>
          </w:p>
          <w:p w14:paraId="0F8151A1">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650" w:type="dxa"/>
            <w:noWrap w:val="0"/>
            <w:vAlign w:val="center"/>
          </w:tcPr>
          <w:p w14:paraId="7D8665CC">
            <w:pPr>
              <w:pStyle w:val="522"/>
              <w:spacing w:line="360" w:lineRule="auto"/>
              <w:jc w:val="left"/>
              <w:rPr>
                <w:rFonts w:hint="eastAsia" w:ascii="仿宋" w:hAnsi="仿宋" w:eastAsia="仿宋" w:cs="仿宋"/>
                <w:color w:val="auto"/>
                <w:sz w:val="21"/>
                <w:szCs w:val="24"/>
                <w:highlight w:val="none"/>
                <w:rtl w:val="0"/>
                <w:lang w:val="en-US" w:eastAsia="zh-CN" w:bidi="ar-SA"/>
              </w:rPr>
            </w:pPr>
          </w:p>
          <w:p w14:paraId="68B16E42">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垃圾收集及清理外运</w:t>
            </w:r>
          </w:p>
          <w:p w14:paraId="304658A9">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6053" w:type="dxa"/>
            <w:noWrap w:val="0"/>
            <w:vAlign w:val="center"/>
          </w:tcPr>
          <w:p w14:paraId="01308271">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设置垃圾收集点，每天更换两次垃圾箱、楼道垃圾桶、公共卫生间垃圾袋；每天定时清理二次。袋装垃圾摆放整齐，地面无明显垃圾，无污水外溢，无明显异味，垃圾日产日清，保洁员当日运离，不得隔夜。</w:t>
            </w:r>
          </w:p>
        </w:tc>
      </w:tr>
      <w:tr w14:paraId="4142B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7" w:type="dxa"/>
            <w:vMerge w:val="continue"/>
            <w:noWrap w:val="0"/>
            <w:vAlign w:val="center"/>
          </w:tcPr>
          <w:p w14:paraId="12C23101">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59A30FE8">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3BEA58FD">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办公楼等公共区域及楼梯台阶及大厅</w:t>
            </w:r>
          </w:p>
          <w:p w14:paraId="4B586201">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6053" w:type="dxa"/>
            <w:noWrap w:val="0"/>
            <w:vAlign w:val="center"/>
          </w:tcPr>
          <w:p w14:paraId="29ED6C2D">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1、室内墙面每周至少除尘一次，楼梯间无灰尘、无乱贴乱画，梯步踏步干净无污渍、不锈钢扶手和护栏、门窗每周保养一次，大理石台面、踏步每月养护一次。</w:t>
            </w:r>
          </w:p>
          <w:p w14:paraId="3A2350C1">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2、每日循环清扫地面垃圾，清除台面、地面的污迹，每周拖、洗两次，每月彻底养护两次，三所监区一二楼地面每周集中清理一次，平时发现污渍及时处理。</w:t>
            </w:r>
          </w:p>
          <w:p w14:paraId="1B43C1D8">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3、所有楼通道、楼梯及公共区域的墙地面、窗户每日至少拖擦2次，推尘4次，所有不锈钢门窗、玻璃门窗每月要保洁、养护2次以上。</w:t>
            </w:r>
          </w:p>
          <w:p w14:paraId="3F339477">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电子显示屏干净无尘。</w:t>
            </w:r>
          </w:p>
        </w:tc>
      </w:tr>
      <w:tr w14:paraId="57C61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7" w:type="dxa"/>
            <w:vMerge w:val="continue"/>
            <w:noWrap w:val="0"/>
            <w:vAlign w:val="center"/>
          </w:tcPr>
          <w:p w14:paraId="2DC1A288">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6959F591">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011FF462">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公共卫生间</w:t>
            </w:r>
          </w:p>
        </w:tc>
        <w:tc>
          <w:tcPr>
            <w:tcW w:w="6053" w:type="dxa"/>
            <w:noWrap w:val="0"/>
            <w:vAlign w:val="center"/>
          </w:tcPr>
          <w:p w14:paraId="1DB92981">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保证洗手间无异味、无水迹、尿迹、无污渍；镜面清洁光亮，墙面、隔断无污迹、无灰尘。垃圾桶内、外干净，垃圾袋内垃圾不超过1/2，每日更换不低于一次；每月1次用毛巾擦灯具；每周2次对共用卫生间进行消毒；负责疏通卫生间下水道的堵塞。</w:t>
            </w:r>
          </w:p>
          <w:p w14:paraId="7C8DE080">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2、拖布和日用品要摆放整齐，每周对卫生间彻底冲刷一次，定时喷洒空气清新剂，保证无异味（包括所有公共卫生间）；间便纸垃圾袋一切洁具均不准放在明处，楼层以及所有区域保洁时，均要放臵警示牌。</w:t>
            </w:r>
          </w:p>
        </w:tc>
      </w:tr>
      <w:tr w14:paraId="15A81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9" w:hRule="atLeast"/>
          <w:jc w:val="center"/>
        </w:trPr>
        <w:tc>
          <w:tcPr>
            <w:tcW w:w="737" w:type="dxa"/>
            <w:vMerge w:val="continue"/>
            <w:noWrap w:val="0"/>
            <w:vAlign w:val="center"/>
          </w:tcPr>
          <w:p w14:paraId="018C56C7">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4082DF89">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64D05185">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楼层所有区域、房间和大楼各个会议室及其他公共场所</w:t>
            </w:r>
          </w:p>
        </w:tc>
        <w:tc>
          <w:tcPr>
            <w:tcW w:w="6053" w:type="dxa"/>
            <w:noWrap w:val="0"/>
            <w:vAlign w:val="center"/>
          </w:tcPr>
          <w:p w14:paraId="2CCF9C18">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1、每天对地面、办公桌椅、办公设备除尘去污。每次房间使用结束后及时清洁，墙、顶面保持整洁。地面干净无灰尘，椅子、茶几、烟缸等随时整理清洁。</w:t>
            </w:r>
          </w:p>
          <w:p w14:paraId="1168D117">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2、保持公共场所各部位干净、整齐。外墙目视洁净、无污垢；表面、接缝、角落、边线等处洁净，无污迹、无积尘，平台、 屋顶无垃圾堆积；所有道路、停车位、草坪、绿化场地、垃圾箱、护栏每周要清理一次。</w:t>
            </w:r>
          </w:p>
        </w:tc>
      </w:tr>
      <w:tr w14:paraId="088FC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737" w:type="dxa"/>
            <w:vMerge w:val="continue"/>
            <w:noWrap w:val="0"/>
            <w:vAlign w:val="center"/>
          </w:tcPr>
          <w:p w14:paraId="7E61F34A">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156A69E6">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4979ED05">
            <w:pPr>
              <w:pStyle w:val="522"/>
              <w:spacing w:line="360" w:lineRule="auto"/>
              <w:jc w:val="left"/>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消火栓、宣传栏、指示牌、信报箱等公用物品</w:t>
            </w:r>
          </w:p>
        </w:tc>
        <w:tc>
          <w:tcPr>
            <w:tcW w:w="6053" w:type="dxa"/>
            <w:noWrap w:val="0"/>
            <w:vAlign w:val="center"/>
          </w:tcPr>
          <w:p w14:paraId="03243117">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隔天至少擦抹一次，保持干净无灰尘、无污迹、光亮清洁。</w:t>
            </w:r>
          </w:p>
        </w:tc>
      </w:tr>
      <w:tr w14:paraId="1D92D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0" w:hRule="atLeast"/>
          <w:jc w:val="center"/>
        </w:trPr>
        <w:tc>
          <w:tcPr>
            <w:tcW w:w="737" w:type="dxa"/>
            <w:vMerge w:val="restart"/>
            <w:noWrap w:val="0"/>
            <w:vAlign w:val="center"/>
          </w:tcPr>
          <w:p w14:paraId="470DED92">
            <w:pPr>
              <w:pStyle w:val="522"/>
              <w:spacing w:line="360" w:lineRule="auto"/>
              <w:jc w:val="center"/>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3</w:t>
            </w:r>
          </w:p>
        </w:tc>
        <w:tc>
          <w:tcPr>
            <w:tcW w:w="1185" w:type="dxa"/>
            <w:vMerge w:val="restart"/>
            <w:noWrap w:val="0"/>
            <w:vAlign w:val="center"/>
          </w:tcPr>
          <w:p w14:paraId="713384BE">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办公楼外公共区域</w:t>
            </w:r>
          </w:p>
          <w:p w14:paraId="2706D479">
            <w:pPr>
              <w:pStyle w:val="522"/>
              <w:spacing w:line="360" w:lineRule="auto"/>
              <w:jc w:val="left"/>
              <w:rPr>
                <w:rFonts w:hint="eastAsia" w:ascii="方正仿宋_GB2312" w:hAnsi="方正仿宋_GB2312" w:eastAsia="方正仿宋_GB2312" w:cs="方正仿宋_GB2312"/>
                <w:color w:val="auto"/>
                <w:sz w:val="24"/>
                <w:szCs w:val="24"/>
                <w:lang w:val="en-US" w:eastAsia="zh-CN" w:bidi="ar-SA"/>
              </w:rPr>
            </w:pPr>
          </w:p>
          <w:p w14:paraId="11517329">
            <w:pPr>
              <w:pStyle w:val="522"/>
              <w:spacing w:line="360" w:lineRule="auto"/>
              <w:jc w:val="left"/>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1BEB9E3F">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道路地面</w:t>
            </w:r>
          </w:p>
        </w:tc>
        <w:tc>
          <w:tcPr>
            <w:tcW w:w="6053" w:type="dxa"/>
            <w:noWrap w:val="0"/>
            <w:vAlign w:val="center"/>
          </w:tcPr>
          <w:p w14:paraId="2C0134F9">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门前广场及周边道路每天清扫保洁，清扫避开上、下班高峰时间进行，白天专人不间断循环保洁。目视道路干净无垃圾、杂物、浮砂，无污迹，无积水、积雪，无痰迹、烟头、纸屑。下雪后扫雪及时,地面无积雪。</w:t>
            </w:r>
          </w:p>
        </w:tc>
      </w:tr>
      <w:tr w14:paraId="0D9CA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7" w:type="dxa"/>
            <w:vMerge w:val="continue"/>
            <w:noWrap w:val="0"/>
            <w:vAlign w:val="center"/>
          </w:tcPr>
          <w:p w14:paraId="506B06A9">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513D3D51">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0F1DDA91">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垃圾箱（桶）、果皮箱</w:t>
            </w:r>
          </w:p>
        </w:tc>
        <w:tc>
          <w:tcPr>
            <w:tcW w:w="6053" w:type="dxa"/>
            <w:noWrap w:val="0"/>
            <w:vAlign w:val="center"/>
          </w:tcPr>
          <w:p w14:paraId="0703083D">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按指定位置摆放，每天至少清理一次，并至少抹洗一次，桶身表面干净无污渍无痰迹，烟灰缸内烟头不应超过3个，垃圾不应超过2/3，内胆应定期清洁、消毒，周围地面干净整洁、无垃圾、无污迹、无异味。</w:t>
            </w:r>
          </w:p>
        </w:tc>
      </w:tr>
      <w:tr w14:paraId="189FD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jc w:val="center"/>
        </w:trPr>
        <w:tc>
          <w:tcPr>
            <w:tcW w:w="737" w:type="dxa"/>
            <w:vMerge w:val="continue"/>
            <w:noWrap w:val="0"/>
            <w:vAlign w:val="center"/>
          </w:tcPr>
          <w:p w14:paraId="00A0875D">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56CC7673">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386B9811">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设备用房</w:t>
            </w:r>
          </w:p>
        </w:tc>
        <w:tc>
          <w:tcPr>
            <w:tcW w:w="6053" w:type="dxa"/>
            <w:noWrap w:val="0"/>
            <w:vAlign w:val="center"/>
          </w:tcPr>
          <w:p w14:paraId="3234D71B">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每天清扫一次。设备机房、管道、指示牌无卫生死角、无垃圾堆积，无积尘、目视无蜘蛛网、无明显污渍、无水渍。</w:t>
            </w:r>
          </w:p>
        </w:tc>
      </w:tr>
      <w:tr w14:paraId="24268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737" w:type="dxa"/>
            <w:vMerge w:val="continue"/>
            <w:noWrap w:val="0"/>
            <w:vAlign w:val="center"/>
          </w:tcPr>
          <w:p w14:paraId="0A672C02">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18D7F6D0">
            <w:pPr>
              <w:pStyle w:val="6"/>
              <w:spacing w:after="200" w:line="320" w:lineRule="exact"/>
              <w:ind w:firstLine="420"/>
              <w:jc w:val="center"/>
              <w:rPr>
                <w:rFonts w:ascii="方正仿宋_GBK" w:hAnsi="方正仿宋_GBK" w:eastAsia="方正仿宋_GBK" w:cs="方正仿宋_GBK"/>
                <w:color w:val="auto"/>
                <w:sz w:val="24"/>
              </w:rPr>
            </w:pPr>
          </w:p>
        </w:tc>
        <w:tc>
          <w:tcPr>
            <w:tcW w:w="1650" w:type="dxa"/>
            <w:noWrap w:val="0"/>
            <w:vAlign w:val="center"/>
          </w:tcPr>
          <w:p w14:paraId="5B9E32FC">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停车场（机动车、非机动车停放处）</w:t>
            </w:r>
          </w:p>
        </w:tc>
        <w:tc>
          <w:tcPr>
            <w:tcW w:w="6053" w:type="dxa"/>
            <w:noWrap w:val="0"/>
            <w:vAlign w:val="center"/>
          </w:tcPr>
          <w:p w14:paraId="7A807F97">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每日清扫一次车库的垃圾和纸头；及时清除进出口的垃圾；发现油渍、污迹、锈迹，应及时擦洗干净，每周擦洗一次门窗、消防栓、指示牌、指示灯等公共设施；保持地面无垃圾、果皮、纸屑，无积水、无异味、空气疏通；标识、指示牌等公共设施目视无明显灰尘；墙面、管线无污迹、无积尘。</w:t>
            </w:r>
          </w:p>
        </w:tc>
      </w:tr>
      <w:tr w14:paraId="32893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37" w:type="dxa"/>
            <w:vMerge w:val="restart"/>
            <w:noWrap w:val="0"/>
            <w:vAlign w:val="center"/>
          </w:tcPr>
          <w:p w14:paraId="4BE6DFF3">
            <w:pPr>
              <w:pStyle w:val="522"/>
              <w:spacing w:line="360" w:lineRule="auto"/>
              <w:jc w:val="center"/>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4</w:t>
            </w:r>
          </w:p>
        </w:tc>
        <w:tc>
          <w:tcPr>
            <w:tcW w:w="1185" w:type="dxa"/>
            <w:vMerge w:val="restart"/>
            <w:noWrap w:val="0"/>
            <w:vAlign w:val="center"/>
          </w:tcPr>
          <w:p w14:paraId="609406F2">
            <w:pPr>
              <w:pStyle w:val="6"/>
              <w:spacing w:after="200" w:line="320" w:lineRule="exact"/>
              <w:jc w:val="both"/>
              <w:rPr>
                <w:rFonts w:ascii="方正仿宋_GBK" w:hAnsi="方正仿宋_GBK" w:eastAsia="方正仿宋_GBK" w:cs="方正仿宋_GBK"/>
                <w:color w:val="auto"/>
                <w:sz w:val="24"/>
              </w:rPr>
            </w:pPr>
            <w:r>
              <w:rPr>
                <w:rFonts w:hint="eastAsia" w:ascii="仿宋" w:hAnsi="仿宋" w:eastAsia="仿宋" w:cs="仿宋"/>
                <w:b w:val="0"/>
                <w:bCs/>
                <w:color w:val="auto"/>
                <w:sz w:val="21"/>
                <w:szCs w:val="24"/>
                <w:highlight w:val="none"/>
                <w:rtl w:val="0"/>
                <w:lang w:val="en-US" w:eastAsia="zh-CN" w:bidi="ar-SA"/>
              </w:rPr>
              <w:t>卫生消毒</w:t>
            </w:r>
          </w:p>
        </w:tc>
        <w:tc>
          <w:tcPr>
            <w:tcW w:w="7703" w:type="dxa"/>
            <w:gridSpan w:val="2"/>
            <w:noWrap w:val="0"/>
            <w:vAlign w:val="center"/>
          </w:tcPr>
          <w:p w14:paraId="30C569A8">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sz w:val="21"/>
                <w:szCs w:val="21"/>
              </w:rPr>
              <w:t>（1）办公用房区域、公共场所区域和周围环境预防性卫生消毒，消毒后及时通风，每周至少开展1次作业。</w:t>
            </w:r>
          </w:p>
        </w:tc>
      </w:tr>
      <w:tr w14:paraId="4A138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37" w:type="dxa"/>
            <w:vMerge w:val="continue"/>
            <w:noWrap w:val="0"/>
            <w:vAlign w:val="center"/>
          </w:tcPr>
          <w:p w14:paraId="41466458">
            <w:pPr>
              <w:pStyle w:val="522"/>
              <w:spacing w:line="360" w:lineRule="auto"/>
              <w:jc w:val="left"/>
            </w:pPr>
          </w:p>
        </w:tc>
        <w:tc>
          <w:tcPr>
            <w:tcW w:w="1185" w:type="dxa"/>
            <w:vMerge w:val="continue"/>
            <w:noWrap w:val="0"/>
            <w:vAlign w:val="center"/>
          </w:tcPr>
          <w:p w14:paraId="0B4D15BF">
            <w:pPr>
              <w:pStyle w:val="522"/>
              <w:spacing w:line="360" w:lineRule="auto"/>
              <w:jc w:val="left"/>
            </w:pPr>
          </w:p>
        </w:tc>
        <w:tc>
          <w:tcPr>
            <w:tcW w:w="7703" w:type="dxa"/>
            <w:gridSpan w:val="2"/>
            <w:noWrap w:val="0"/>
            <w:vAlign w:val="center"/>
          </w:tcPr>
          <w:p w14:paraId="733F449E">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sz w:val="21"/>
                <w:szCs w:val="21"/>
              </w:rPr>
              <w:t>（2）采取综合措施消灭老鼠、蟑螂，控制室内外蚊虫孳生，达到基本无蝇，每季度至少开展1次作业。</w:t>
            </w:r>
          </w:p>
        </w:tc>
      </w:tr>
      <w:tr w14:paraId="68111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37" w:type="dxa"/>
            <w:vMerge w:val="continue"/>
            <w:noWrap w:val="0"/>
            <w:vAlign w:val="center"/>
          </w:tcPr>
          <w:p w14:paraId="1BCA2493">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4BF88CE0">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7703" w:type="dxa"/>
            <w:gridSpan w:val="2"/>
            <w:shd w:val="clear" w:color="auto" w:fill="auto"/>
            <w:noWrap w:val="0"/>
            <w:vAlign w:val="center"/>
          </w:tcPr>
          <w:p w14:paraId="199572F9">
            <w:pPr>
              <w:pageBreakBefore w:val="0"/>
              <w:widowControl/>
              <w:spacing w:line="360" w:lineRule="exact"/>
              <w:jc w:val="left"/>
              <w:rPr>
                <w:rFonts w:hint="eastAsia" w:ascii="仿宋" w:hAnsi="仿宋" w:eastAsia="仿宋" w:cs="仿宋"/>
                <w:sz w:val="21"/>
                <w:szCs w:val="21"/>
                <w:rtl w:val="0"/>
                <w:lang w:val="en-US" w:eastAsia="zh-CN" w:bidi="ar-SA"/>
              </w:rPr>
            </w:pPr>
            <w:r>
              <w:rPr>
                <w:rFonts w:hint="eastAsia" w:ascii="仿宋" w:hAnsi="仿宋" w:eastAsia="仿宋" w:cs="仿宋"/>
                <w:sz w:val="21"/>
                <w:szCs w:val="21"/>
              </w:rPr>
              <w:t>（3）发生公共卫生事件时，邀请专业单位开展消毒、检测等工作。</w:t>
            </w:r>
          </w:p>
        </w:tc>
      </w:tr>
    </w:tbl>
    <w:p w14:paraId="1BBFDB20">
      <w:pPr>
        <w:pStyle w:val="6"/>
        <w:spacing w:after="200" w:line="320" w:lineRule="exact"/>
        <w:rPr>
          <w:rFonts w:hint="eastAsia" w:ascii="方正仿宋_GB2312" w:hAnsi="方正仿宋_GB2312" w:eastAsia="方正仿宋_GB2312" w:cs="方正仿宋_GB2312"/>
          <w:color w:val="auto"/>
          <w:sz w:val="24"/>
          <w:szCs w:val="24"/>
          <w:lang w:val="zh-CN" w:eastAsia="zh-CN"/>
        </w:rPr>
      </w:pPr>
      <w:r>
        <w:rPr>
          <w:rFonts w:hint="eastAsia" w:ascii="方正仿宋_GB2312" w:hAnsi="方正仿宋_GB2312" w:eastAsia="方正仿宋_GB2312" w:cs="方正仿宋_GB2312"/>
          <w:color w:val="auto"/>
          <w:sz w:val="24"/>
          <w:szCs w:val="24"/>
          <w:lang w:val="zh-CN" w:eastAsia="zh-CN"/>
        </w:rPr>
        <w:t>注：工作人员个人办公室内部不在保洁范围内。</w:t>
      </w:r>
    </w:p>
    <w:p w14:paraId="521E5D4E">
      <w:pPr>
        <w:spacing w:line="480" w:lineRule="exact"/>
        <w:ind w:left="0" w:right="0" w:firstLine="482"/>
        <w:jc w:val="left"/>
        <w:rPr>
          <w:rFonts w:hint="eastAsia"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进退场交接</w:t>
      </w:r>
    </w:p>
    <w:p w14:paraId="3B4544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进退场交接方案：供应商提供针对本项目特点的进退场交接方案，制定项目交接时间进度安排、具体交接的内容、交接重点难点分析及解决方案，确保项目平稳过渡和正常运行。</w:t>
      </w:r>
    </w:p>
    <w:p w14:paraId="49ACC2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CN" w:eastAsia="zh-CN"/>
        </w:rPr>
        <w:t>进场交接要求</w:t>
      </w:r>
    </w:p>
    <w:p w14:paraId="087E11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eastAsia="zh-CN"/>
        </w:rPr>
        <w:t>交接准备</w:t>
      </w:r>
    </w:p>
    <w:p w14:paraId="74E3F1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进场前勘查：新物业服务企业在进场前对</w:t>
      </w:r>
      <w:r>
        <w:rPr>
          <w:rFonts w:hint="eastAsia" w:ascii="仿宋" w:hAnsi="仿宋" w:eastAsia="仿宋" w:cs="仿宋"/>
          <w:color w:val="auto"/>
          <w:sz w:val="24"/>
          <w:szCs w:val="24"/>
          <w:lang w:val="en-US" w:eastAsia="zh-CN"/>
        </w:rPr>
        <w:t>现场</w:t>
      </w:r>
      <w:r>
        <w:rPr>
          <w:rFonts w:hint="eastAsia" w:ascii="仿宋" w:hAnsi="仿宋" w:eastAsia="仿宋" w:cs="仿宋"/>
          <w:color w:val="auto"/>
          <w:sz w:val="24"/>
          <w:szCs w:val="24"/>
          <w:lang w:val="zh-CN" w:eastAsia="zh-CN"/>
        </w:rPr>
        <w:t>进行全面勘察，了解设施设备、环境、安全等情况。</w:t>
      </w:r>
    </w:p>
    <w:p w14:paraId="2F3FB7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人员培训：新物业服务企业应对员工进行岗前培训，确保熟悉办公楼的管理制度和服务标准。</w:t>
      </w:r>
    </w:p>
    <w:p w14:paraId="32B26E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2.交接内容</w:t>
      </w:r>
    </w:p>
    <w:p w14:paraId="0198343A">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资料交接：包括但不限于建筑图纸、设备档案、合同、业主信息、历史维修记录等。</w:t>
      </w:r>
    </w:p>
    <w:p w14:paraId="3CB66DF1">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color w:val="auto"/>
          <w:sz w:val="24"/>
          <w:szCs w:val="24"/>
          <w:lang w:val="zh-CN" w:eastAsia="zh-CN"/>
        </w:rPr>
      </w:pPr>
      <w:r>
        <w:rPr>
          <w:rFonts w:hint="eastAsia" w:ascii="仿宋" w:hAnsi="仿宋" w:eastAsia="仿宋" w:cs="仿宋"/>
          <w:b w:val="0"/>
          <w:bCs/>
          <w:color w:val="auto"/>
          <w:sz w:val="24"/>
          <w:szCs w:val="24"/>
          <w:lang w:val="zh-CN" w:eastAsia="zh-CN" w:bidi="ar-SA"/>
        </w:rPr>
        <w:t>设施设备交接：对办公楼内的电梯、空调、消防、安防等设备进行清点，确保设备完好并处于正常运行状态。</w:t>
      </w:r>
    </w:p>
    <w:p w14:paraId="38F00A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3.交接程序</w:t>
      </w:r>
    </w:p>
    <w:p w14:paraId="55CAF7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交接会议：双方应召开交接会议，明确交接内容、时间、责任等事项。</w:t>
      </w:r>
    </w:p>
    <w:p w14:paraId="002A68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现场交接：双方应共同对办公楼进行现场检查，确认设施设备、物资等状况。</w:t>
      </w:r>
    </w:p>
    <w:p w14:paraId="63D15A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签字确认：交接完成后，双方应签署交接文件，确认交接内容。</w:t>
      </w:r>
    </w:p>
    <w:p w14:paraId="69AD37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eastAsia="zh-CN"/>
        </w:rPr>
        <w:t>）退场交接要求</w:t>
      </w:r>
    </w:p>
    <w:p w14:paraId="16E548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1.退场准备</w:t>
      </w:r>
    </w:p>
    <w:p w14:paraId="4C718B7C">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资料整理：退场物业服务企业应整理好所有相关资料，包括设备档案、维修记录、合同等。</w:t>
      </w:r>
    </w:p>
    <w:p w14:paraId="1BFBE71C">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设施设备检查：退场前应对办公楼内的设施设备进行全面检查，确保设备正常运行。</w:t>
      </w:r>
    </w:p>
    <w:p w14:paraId="62B5A321">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color w:val="auto"/>
          <w:sz w:val="24"/>
          <w:szCs w:val="24"/>
          <w:lang w:val="zh-CN" w:eastAsia="zh-CN"/>
        </w:rPr>
      </w:pPr>
      <w:r>
        <w:rPr>
          <w:rFonts w:hint="eastAsia" w:ascii="仿宋" w:hAnsi="仿宋" w:eastAsia="仿宋" w:cs="仿宋"/>
          <w:b w:val="0"/>
          <w:bCs/>
          <w:color w:val="auto"/>
          <w:sz w:val="24"/>
          <w:szCs w:val="24"/>
          <w:lang w:val="zh-CN" w:eastAsia="zh-CN" w:bidi="ar-SA"/>
        </w:rPr>
        <w:t>物资清点：退场前应对所有物资进行清点，确保无遗失或损坏。</w:t>
      </w:r>
    </w:p>
    <w:p w14:paraId="3C0060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2.退场内容</w:t>
      </w:r>
    </w:p>
    <w:p w14:paraId="33F6E6FD">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资料移交：退场物业服务企业应将所有相关资料移交给新物业服务企业或业主方。</w:t>
      </w:r>
    </w:p>
    <w:p w14:paraId="4E0CDA0B">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设施设备移交：退场物业服务企业应确保所有设施设备处于正常运行状态，并移交给新物业服务企业或业主方。</w:t>
      </w:r>
    </w:p>
    <w:p w14:paraId="03087ADC">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color w:val="auto"/>
          <w:sz w:val="24"/>
          <w:szCs w:val="24"/>
          <w:lang w:val="zh-CN" w:eastAsia="zh-CN"/>
        </w:rPr>
      </w:pPr>
      <w:r>
        <w:rPr>
          <w:rFonts w:hint="eastAsia" w:ascii="仿宋" w:hAnsi="仿宋" w:eastAsia="仿宋" w:cs="仿宋"/>
          <w:b w:val="0"/>
          <w:bCs/>
          <w:color w:val="auto"/>
          <w:sz w:val="24"/>
          <w:szCs w:val="24"/>
          <w:lang w:val="zh-CN" w:eastAsia="zh-CN" w:bidi="ar-SA"/>
        </w:rPr>
        <w:t>财务结算：退场物业服务企业应与业主方进行财务结算，结清所有费用。</w:t>
      </w:r>
    </w:p>
    <w:p w14:paraId="5E4064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3.退场程序</w:t>
      </w:r>
    </w:p>
    <w:p w14:paraId="740FB6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退场会议：双方应召开退场会议，明确退场内容、时间、责任等事项。</w:t>
      </w:r>
    </w:p>
    <w:p w14:paraId="7BA2AB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现场检查：双方应共同对办公楼进行现场检查，确认设施设备、物资等状况。</w:t>
      </w:r>
    </w:p>
    <w:p w14:paraId="128C59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签字确认：退场完成后，双方应签署退场文件，确认退场内容。</w:t>
      </w:r>
    </w:p>
    <w:p w14:paraId="03FF5E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eastAsia="zh-CN"/>
        </w:rPr>
        <w:t>）交接时间</w:t>
      </w:r>
      <w:r>
        <w:rPr>
          <w:rFonts w:hint="eastAsia" w:ascii="仿宋" w:hAnsi="仿宋" w:eastAsia="仿宋" w:cs="仿宋"/>
          <w:color w:val="auto"/>
          <w:sz w:val="24"/>
          <w:szCs w:val="24"/>
          <w:lang w:val="en-US" w:eastAsia="zh-CN"/>
        </w:rPr>
        <w:t>及责任</w:t>
      </w:r>
    </w:p>
    <w:p w14:paraId="78CC04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1.交接时间：进退场交接应在合同规定的期限内完成，确保不影响</w:t>
      </w:r>
      <w:r>
        <w:rPr>
          <w:rFonts w:hint="eastAsia" w:ascii="仿宋" w:hAnsi="仿宋" w:eastAsia="仿宋" w:cs="仿宋"/>
          <w:color w:val="auto"/>
          <w:sz w:val="24"/>
          <w:szCs w:val="24"/>
          <w:lang w:val="en-US" w:eastAsia="zh-CN"/>
        </w:rPr>
        <w:t>办公楼</w:t>
      </w:r>
      <w:r>
        <w:rPr>
          <w:rFonts w:hint="eastAsia" w:ascii="仿宋" w:hAnsi="仿宋" w:eastAsia="仿宋" w:cs="仿宋"/>
          <w:color w:val="auto"/>
          <w:sz w:val="24"/>
          <w:szCs w:val="24"/>
          <w:lang w:val="zh-CN" w:eastAsia="zh-CN"/>
        </w:rPr>
        <w:t>的正常使用。</w:t>
      </w:r>
    </w:p>
    <w:p w14:paraId="517A0C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2.交接责任：双方应明确交接过程中的责任，确保交接顺利进行。</w:t>
      </w:r>
    </w:p>
    <w:p w14:paraId="0271F7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3.交接记录：交接过程应详细记录，双方签字确认，作为后续管理的依据。</w:t>
      </w:r>
    </w:p>
    <w:p w14:paraId="66802B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通过以上要求，确保物业服务采购项目的进退场交接顺利进行，保障物业服务的连续性和质量。</w:t>
      </w:r>
    </w:p>
    <w:p w14:paraId="63D671CA">
      <w:pPr>
        <w:spacing w:line="480" w:lineRule="exact"/>
        <w:ind w:left="0" w:right="0" w:firstLine="482"/>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w:t>
      </w:r>
      <w:r>
        <w:rPr>
          <w:rFonts w:hint="eastAsia" w:ascii="仿宋" w:hAnsi="仿宋" w:eastAsia="仿宋" w:cs="仿宋"/>
          <w:b/>
          <w:bCs/>
          <w:sz w:val="24"/>
          <w:szCs w:val="24"/>
          <w:lang w:val="en-US" w:eastAsia="zh-CN"/>
        </w:rPr>
        <w:t>三</w:t>
      </w:r>
      <w:r>
        <w:rPr>
          <w:rFonts w:hint="eastAsia" w:ascii="仿宋" w:hAnsi="仿宋" w:eastAsia="仿宋" w:cs="仿宋"/>
          <w:b/>
          <w:bCs/>
          <w:sz w:val="24"/>
          <w:szCs w:val="24"/>
          <w:lang w:val="zh-CN" w:eastAsia="zh-CN"/>
        </w:rPr>
        <w:t>）设备、工具、服装要求</w:t>
      </w:r>
    </w:p>
    <w:p w14:paraId="11C8125B">
      <w:pPr>
        <w:pStyle w:val="352"/>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仿宋" w:hAnsi="仿宋" w:eastAsia="仿宋" w:cs="仿宋"/>
          <w:sz w:val="24"/>
          <w:szCs w:val="24"/>
          <w:lang w:bidi="zh-CN"/>
        </w:rPr>
      </w:pPr>
      <w:r>
        <w:rPr>
          <w:rFonts w:hint="eastAsia" w:ascii="仿宋" w:hAnsi="仿宋" w:eastAsia="仿宋" w:cs="仿宋"/>
          <w:sz w:val="24"/>
          <w:szCs w:val="24"/>
          <w:lang w:bidi="zh-CN"/>
        </w:rPr>
        <w:t>1.设备及保洁工具全新或八成新以上。</w:t>
      </w:r>
    </w:p>
    <w:p w14:paraId="57937625">
      <w:pPr>
        <w:pStyle w:val="352"/>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2.装备清单，包含保洁物资耗材、清洁工具、清洁用品、各种保洁专用警示牌等供应商自备，</w:t>
      </w:r>
      <w:r>
        <w:rPr>
          <w:rFonts w:hint="eastAsia" w:ascii="仿宋" w:hAnsi="仿宋" w:eastAsia="仿宋" w:cs="仿宋"/>
          <w:sz w:val="24"/>
          <w:szCs w:val="24"/>
          <w:highlight w:val="none"/>
          <w:lang w:val="zh-CN" w:eastAsia="zh-CN" w:bidi="zh-CN"/>
        </w:rPr>
        <w:t>费用由</w:t>
      </w:r>
      <w:r>
        <w:rPr>
          <w:rFonts w:hint="eastAsia" w:ascii="仿宋" w:hAnsi="仿宋" w:eastAsia="仿宋" w:cs="仿宋"/>
          <w:sz w:val="24"/>
          <w:szCs w:val="24"/>
          <w:highlight w:val="none"/>
          <w:lang w:val="en-US" w:eastAsia="zh-CN" w:bidi="zh-CN"/>
        </w:rPr>
        <w:t>成交供应商</w:t>
      </w:r>
      <w:r>
        <w:rPr>
          <w:rFonts w:hint="eastAsia" w:ascii="仿宋" w:hAnsi="仿宋" w:eastAsia="仿宋" w:cs="仿宋"/>
          <w:sz w:val="24"/>
          <w:szCs w:val="24"/>
          <w:highlight w:val="none"/>
          <w:lang w:val="zh-CN" w:eastAsia="zh-CN" w:bidi="zh-CN"/>
        </w:rPr>
        <w:t>承担</w:t>
      </w:r>
      <w:r>
        <w:rPr>
          <w:rFonts w:hint="eastAsia" w:ascii="仿宋" w:hAnsi="仿宋" w:eastAsia="仿宋" w:cs="仿宋"/>
          <w:sz w:val="24"/>
          <w:szCs w:val="24"/>
          <w:highlight w:val="none"/>
          <w:lang w:bidi="zh-CN"/>
        </w:rPr>
        <w:t>。</w:t>
      </w:r>
    </w:p>
    <w:p w14:paraId="4875619A">
      <w:pPr>
        <w:pStyle w:val="352"/>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仿宋" w:hAnsi="仿宋" w:eastAsia="仿宋" w:cs="仿宋"/>
          <w:sz w:val="24"/>
          <w:szCs w:val="24"/>
          <w:lang w:bidi="zh-CN"/>
        </w:rPr>
      </w:pPr>
      <w:r>
        <w:rPr>
          <w:rFonts w:hint="eastAsia" w:ascii="仿宋" w:hAnsi="仿宋" w:eastAsia="仿宋" w:cs="仿宋"/>
          <w:sz w:val="24"/>
          <w:szCs w:val="24"/>
          <w:lang w:bidi="zh-CN"/>
        </w:rPr>
        <w:t>3.</w:t>
      </w:r>
      <w:r>
        <w:rPr>
          <w:rFonts w:hint="eastAsia" w:ascii="仿宋" w:hAnsi="仿宋" w:eastAsia="仿宋" w:cs="仿宋"/>
          <w:sz w:val="24"/>
          <w:szCs w:val="24"/>
          <w:lang w:val="en-US" w:eastAsia="zh-CN" w:bidi="zh-CN"/>
        </w:rPr>
        <w:t>成交人进驻前，将以上设备（工具）、耗材物品等配置到办公区。否则采购人将拒绝成交人进场，所产生的责任由成交人承担。</w:t>
      </w:r>
      <w:r>
        <w:rPr>
          <w:rFonts w:hint="eastAsia" w:ascii="仿宋" w:hAnsi="仿宋" w:eastAsia="仿宋" w:cs="仿宋"/>
          <w:sz w:val="24"/>
          <w:szCs w:val="24"/>
          <w:lang w:bidi="zh-CN"/>
        </w:rPr>
        <w:t>合同生效后3个工作日内因中标人未将上述设备完全提供导致延误的，采购人将报政府采购管理部门进行处理并追究其违约责任。</w:t>
      </w:r>
    </w:p>
    <w:p w14:paraId="094229E0">
      <w:pPr>
        <w:pStyle w:val="352"/>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仿宋" w:hAnsi="仿宋" w:eastAsia="仿宋" w:cs="仿宋"/>
          <w:sz w:val="24"/>
          <w:szCs w:val="24"/>
          <w:lang w:bidi="zh-CN"/>
        </w:rPr>
      </w:pPr>
      <w:r>
        <w:rPr>
          <w:rFonts w:hint="eastAsia" w:ascii="仿宋" w:hAnsi="仿宋" w:eastAsia="仿宋" w:cs="仿宋"/>
          <w:sz w:val="24"/>
          <w:szCs w:val="24"/>
          <w:lang w:bidi="zh-CN"/>
        </w:rPr>
        <w:t>4.人员服装要求</w:t>
      </w:r>
    </w:p>
    <w:p w14:paraId="0D420AAA">
      <w:pPr>
        <w:pStyle w:val="352"/>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仿宋" w:hAnsi="仿宋" w:eastAsia="仿宋" w:cs="仿宋"/>
          <w:sz w:val="24"/>
          <w:szCs w:val="24"/>
          <w:lang w:bidi="zh-CN"/>
        </w:rPr>
      </w:pPr>
      <w:r>
        <w:rPr>
          <w:rFonts w:hint="eastAsia" w:ascii="仿宋" w:hAnsi="仿宋" w:eastAsia="仿宋" w:cs="仿宋"/>
          <w:sz w:val="24"/>
          <w:szCs w:val="24"/>
          <w:lang w:bidi="zh-CN"/>
        </w:rPr>
        <w:t>（1）保持良好的服务精神面貌，项目组成员（除项目经理外）应着装统一制服，服装整洁合体，穿戴整齐（佩戴工号牌或工作证，纽扣应全部扣好，不得敞开外衣，卷起裤脚、衣袖）。</w:t>
      </w:r>
    </w:p>
    <w:p w14:paraId="3E820948">
      <w:pPr>
        <w:pStyle w:val="352"/>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仿宋" w:hAnsi="仿宋" w:eastAsia="仿宋" w:cs="仿宋"/>
          <w:sz w:val="24"/>
          <w:szCs w:val="24"/>
          <w:highlight w:val="none"/>
          <w:lang w:bidi="zh-CN"/>
        </w:rPr>
      </w:pPr>
      <w:r>
        <w:rPr>
          <w:rFonts w:hint="eastAsia" w:ascii="仿宋" w:hAnsi="仿宋" w:eastAsia="仿宋" w:cs="仿宋"/>
          <w:sz w:val="24"/>
          <w:szCs w:val="24"/>
          <w:lang w:bidi="zh-CN"/>
        </w:rPr>
        <w:t>（2）人员服装应全新，质量上乘，穿着舒适，经久耐穿，具备本单位特色，且能够展示本单位和采购人单位场所风采</w:t>
      </w:r>
      <w:r>
        <w:rPr>
          <w:rFonts w:hint="eastAsia" w:ascii="仿宋" w:hAnsi="仿宋" w:eastAsia="仿宋" w:cs="仿宋"/>
          <w:sz w:val="24"/>
          <w:szCs w:val="24"/>
          <w:highlight w:val="none"/>
          <w:lang w:bidi="zh-CN"/>
        </w:rPr>
        <w:t>。</w:t>
      </w:r>
    </w:p>
    <w:p w14:paraId="1F2ED9EE">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482"/>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bidi="zh-CN"/>
        </w:rPr>
        <w:t>（3）服装数量要求：项目组成员（除项目经理外）每人每季节2套服装（包括上衣和裤子），其中春夏季为短袖样式，秋冬季为长袖样式。服装由中标人在采购人指定时间前备案并发放至员工。</w:t>
      </w:r>
    </w:p>
    <w:p w14:paraId="18D32423">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六、考核标准</w:t>
      </w:r>
    </w:p>
    <w:p w14:paraId="39CD0CF1">
      <w:pPr>
        <w:pStyle w:val="518"/>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为进一步加强服务（以下简称“服务”）管理考核，不断提升服务水平，特制定本办法。</w:t>
      </w:r>
    </w:p>
    <w:p w14:paraId="77984F55">
      <w:pPr>
        <w:pStyle w:val="518"/>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default"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一、考核对象</w:t>
      </w:r>
    </w:p>
    <w:p w14:paraId="1B619538">
      <w:pPr>
        <w:pStyle w:val="518"/>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泗洪县政务服务中心保洁服务采购项目服务商。</w:t>
      </w:r>
    </w:p>
    <w:p w14:paraId="7F06A2CE">
      <w:pPr>
        <w:pStyle w:val="518"/>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二、考核方式</w:t>
      </w:r>
    </w:p>
    <w:p w14:paraId="28DBD8C6">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en-US" w:eastAsia="zh-CN" w:bidi="zh-CN"/>
        </w:rPr>
        <w:t>采购人对乙方已开展的服务情况进行日常考核管理，每月汇总一次。</w:t>
      </w:r>
    </w:p>
    <w:p w14:paraId="1DFEF333">
      <w:pPr>
        <w:pStyle w:val="518"/>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三、结果应用</w:t>
      </w:r>
    </w:p>
    <w:p w14:paraId="7F102828">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每次付款前依据考核标准，每月根据考核结果据实支付。考核分总分 100 分，按照考核办法进行评分，最后得分作为付款依据。</w:t>
      </w:r>
    </w:p>
    <w:p w14:paraId="149950BE">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甲方有权利对乙方在甲方派驻的保洁人员管理、卫生状况随时进行抽查，抽查时发现卫生不达标或未履行乙方责任和义务。</w:t>
      </w:r>
    </w:p>
    <w:p w14:paraId="5042B8C7">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1.抽查中，每发现一处卫生不达标或每一次未履行保洁服务公司责任和义务或服务标准，扣 1 分，扣除服务费 20 元。</w:t>
      </w:r>
    </w:p>
    <w:p w14:paraId="76101546">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2.保洁员负责区域卫生未履行责任和义务当月累计扣 3 分及以上者，甲方有权要求乙方更换保洁人员并扣除保洁人员缺岗费用。</w:t>
      </w:r>
    </w:p>
    <w:p w14:paraId="04E8010E">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3.当月累计扣 8 分及以上，甲方有权扣除当月合同金额 5%且有权利解除服务合同。</w:t>
      </w:r>
    </w:p>
    <w:p w14:paraId="2FBDCFE6">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4.每季度累计 21 分及以上，甲方有权扣除每季度合同总金额 5%且有权解除服务合同。</w:t>
      </w:r>
    </w:p>
    <w:p w14:paraId="2E539E61">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en-US" w:eastAsia="zh-CN" w:bidi="zh-CN"/>
        </w:rPr>
        <w:t>5.每年度累计 50 分及以上，甲方有权扣除年度合同总金额 5%且有权解除服务合同。</w:t>
      </w:r>
      <w:r>
        <w:rPr>
          <w:rFonts w:hint="eastAsia" w:ascii="仿宋" w:hAnsi="仿宋" w:eastAsia="仿宋" w:cs="仿宋"/>
          <w:b/>
          <w:bCs/>
          <w:sz w:val="24"/>
          <w:szCs w:val="24"/>
          <w:highlight w:val="none"/>
          <w:lang w:val="zh-CN" w:eastAsia="zh-CN" w:bidi="zh-CN"/>
        </w:rPr>
        <w:t>考核项如下：</w:t>
      </w:r>
    </w:p>
    <w:tbl>
      <w:tblPr>
        <w:tblStyle w:val="40"/>
        <w:tblpPr w:leftFromText="180" w:rightFromText="180" w:vertAnchor="text" w:horzAnchor="page" w:tblpXSpec="center" w:tblpY="298"/>
        <w:tblW w:w="94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1"/>
        <w:gridCol w:w="2150"/>
        <w:gridCol w:w="2617"/>
        <w:gridCol w:w="2220"/>
        <w:gridCol w:w="1471"/>
      </w:tblGrid>
      <w:tr w14:paraId="202C8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jc w:val="center"/>
        </w:trPr>
        <w:tc>
          <w:tcPr>
            <w:tcW w:w="981" w:type="dxa"/>
            <w:noWrap w:val="0"/>
            <w:vAlign w:val="center"/>
          </w:tcPr>
          <w:p w14:paraId="42C708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区域</w:t>
            </w:r>
          </w:p>
        </w:tc>
        <w:tc>
          <w:tcPr>
            <w:tcW w:w="2150" w:type="dxa"/>
            <w:noWrap w:val="0"/>
            <w:vAlign w:val="center"/>
          </w:tcPr>
          <w:p w14:paraId="2EB3FD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内容</w:t>
            </w:r>
          </w:p>
        </w:tc>
        <w:tc>
          <w:tcPr>
            <w:tcW w:w="2617" w:type="dxa"/>
            <w:noWrap w:val="0"/>
            <w:vAlign w:val="center"/>
          </w:tcPr>
          <w:p w14:paraId="0D957CB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考核</w:t>
            </w:r>
            <w:r>
              <w:rPr>
                <w:rFonts w:hint="eastAsia" w:ascii="仿宋" w:hAnsi="仿宋" w:eastAsia="仿宋" w:cs="仿宋"/>
                <w:b/>
                <w:bCs/>
                <w:sz w:val="24"/>
                <w:szCs w:val="24"/>
                <w:highlight w:val="none"/>
              </w:rPr>
              <w:t>标准</w:t>
            </w:r>
          </w:p>
        </w:tc>
        <w:tc>
          <w:tcPr>
            <w:tcW w:w="2220" w:type="dxa"/>
            <w:noWrap w:val="0"/>
            <w:vAlign w:val="center"/>
          </w:tcPr>
          <w:p w14:paraId="2818F8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检查频率</w:t>
            </w:r>
          </w:p>
        </w:tc>
        <w:tc>
          <w:tcPr>
            <w:tcW w:w="1471" w:type="dxa"/>
            <w:noWrap w:val="0"/>
            <w:vAlign w:val="center"/>
          </w:tcPr>
          <w:p w14:paraId="79A0494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扣分标准</w:t>
            </w:r>
          </w:p>
        </w:tc>
      </w:tr>
      <w:tr w14:paraId="2A8FC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jc w:val="center"/>
        </w:trPr>
        <w:tc>
          <w:tcPr>
            <w:tcW w:w="981" w:type="dxa"/>
            <w:vMerge w:val="restart"/>
            <w:tcBorders>
              <w:bottom w:val="nil"/>
            </w:tcBorders>
            <w:noWrap w:val="0"/>
            <w:vAlign w:val="center"/>
          </w:tcPr>
          <w:p w14:paraId="5B709A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垃圾回</w:t>
            </w:r>
          </w:p>
          <w:p w14:paraId="514A16E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收点</w:t>
            </w:r>
          </w:p>
        </w:tc>
        <w:tc>
          <w:tcPr>
            <w:tcW w:w="2150" w:type="dxa"/>
            <w:noWrap w:val="0"/>
            <w:vAlign w:val="center"/>
          </w:tcPr>
          <w:p w14:paraId="2CB69FB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旋转垃圾回收桶一个</w:t>
            </w:r>
          </w:p>
        </w:tc>
        <w:tc>
          <w:tcPr>
            <w:tcW w:w="2617" w:type="dxa"/>
            <w:noWrap w:val="0"/>
            <w:vAlign w:val="center"/>
          </w:tcPr>
          <w:p w14:paraId="230AF5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洁净无污迹</w:t>
            </w:r>
          </w:p>
        </w:tc>
        <w:tc>
          <w:tcPr>
            <w:tcW w:w="2220" w:type="dxa"/>
            <w:noWrap w:val="0"/>
            <w:vAlign w:val="center"/>
          </w:tcPr>
          <w:p w14:paraId="1231406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1AF9B9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0656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81" w:type="dxa"/>
            <w:vMerge w:val="continue"/>
            <w:tcBorders>
              <w:top w:val="nil"/>
            </w:tcBorders>
            <w:noWrap w:val="0"/>
            <w:vAlign w:val="center"/>
          </w:tcPr>
          <w:p w14:paraId="3E2E44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05338B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172AEF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764AEB6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466B691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60C9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981" w:type="dxa"/>
            <w:vMerge w:val="restart"/>
            <w:tcBorders>
              <w:bottom w:val="nil"/>
            </w:tcBorders>
            <w:noWrap w:val="0"/>
            <w:vAlign w:val="center"/>
          </w:tcPr>
          <w:p w14:paraId="61AAFC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p w14:paraId="6C1EB5B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p w14:paraId="2A04AD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p w14:paraId="276204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p w14:paraId="2415A3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公共通道</w:t>
            </w:r>
          </w:p>
        </w:tc>
        <w:tc>
          <w:tcPr>
            <w:tcW w:w="2150" w:type="dxa"/>
            <w:noWrap w:val="0"/>
            <w:vAlign w:val="center"/>
          </w:tcPr>
          <w:p w14:paraId="603EC9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地面污迹、边角清洁</w:t>
            </w:r>
          </w:p>
        </w:tc>
        <w:tc>
          <w:tcPr>
            <w:tcW w:w="2617" w:type="dxa"/>
            <w:noWrap w:val="0"/>
            <w:vAlign w:val="center"/>
          </w:tcPr>
          <w:p w14:paraId="39D1D6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干爽 无垃圾杂物</w:t>
            </w:r>
          </w:p>
        </w:tc>
        <w:tc>
          <w:tcPr>
            <w:tcW w:w="2220" w:type="dxa"/>
            <w:noWrap w:val="0"/>
            <w:vAlign w:val="center"/>
          </w:tcPr>
          <w:p w14:paraId="740998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62259F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1FB0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981" w:type="dxa"/>
            <w:vMerge w:val="continue"/>
            <w:tcBorders>
              <w:top w:val="nil"/>
              <w:bottom w:val="nil"/>
            </w:tcBorders>
            <w:noWrap w:val="0"/>
            <w:vAlign w:val="center"/>
          </w:tcPr>
          <w:p w14:paraId="694BDC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0F5F3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设施、墙面无污迹、积灰及蛛网</w:t>
            </w:r>
          </w:p>
        </w:tc>
        <w:tc>
          <w:tcPr>
            <w:tcW w:w="2617" w:type="dxa"/>
            <w:noWrap w:val="0"/>
            <w:vAlign w:val="center"/>
          </w:tcPr>
          <w:p w14:paraId="5861D6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343C04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3A0480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9049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jc w:val="center"/>
        </w:trPr>
        <w:tc>
          <w:tcPr>
            <w:tcW w:w="981" w:type="dxa"/>
            <w:vMerge w:val="continue"/>
            <w:tcBorders>
              <w:top w:val="nil"/>
              <w:bottom w:val="nil"/>
            </w:tcBorders>
            <w:noWrap w:val="0"/>
            <w:vAlign w:val="center"/>
          </w:tcPr>
          <w:p w14:paraId="33EB43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CE4E0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墙面挂件、指示牌、天花板清洁</w:t>
            </w:r>
          </w:p>
        </w:tc>
        <w:tc>
          <w:tcPr>
            <w:tcW w:w="2617" w:type="dxa"/>
            <w:noWrap w:val="0"/>
            <w:vAlign w:val="center"/>
          </w:tcPr>
          <w:p w14:paraId="6A14C5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595701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397684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54246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jc w:val="center"/>
        </w:trPr>
        <w:tc>
          <w:tcPr>
            <w:tcW w:w="981" w:type="dxa"/>
            <w:vMerge w:val="continue"/>
            <w:tcBorders>
              <w:top w:val="nil"/>
              <w:bottom w:val="nil"/>
            </w:tcBorders>
            <w:noWrap w:val="0"/>
            <w:vAlign w:val="center"/>
          </w:tcPr>
          <w:p w14:paraId="3D6893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019DD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玻璃及窗台、窗槽的清洁</w:t>
            </w:r>
          </w:p>
        </w:tc>
        <w:tc>
          <w:tcPr>
            <w:tcW w:w="2617" w:type="dxa"/>
            <w:noWrap w:val="0"/>
            <w:vAlign w:val="center"/>
          </w:tcPr>
          <w:p w14:paraId="077D27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 无污迹手印</w:t>
            </w:r>
          </w:p>
        </w:tc>
        <w:tc>
          <w:tcPr>
            <w:tcW w:w="2220" w:type="dxa"/>
            <w:noWrap w:val="0"/>
            <w:vAlign w:val="center"/>
          </w:tcPr>
          <w:p w14:paraId="1A2940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622CF8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0688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jc w:val="center"/>
        </w:trPr>
        <w:tc>
          <w:tcPr>
            <w:tcW w:w="981" w:type="dxa"/>
            <w:vMerge w:val="continue"/>
            <w:tcBorders>
              <w:top w:val="nil"/>
            </w:tcBorders>
            <w:noWrap w:val="0"/>
            <w:vAlign w:val="center"/>
          </w:tcPr>
          <w:p w14:paraId="43EF72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212036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31586C1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6AEFC5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53B51D1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DD3B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jc w:val="center"/>
        </w:trPr>
        <w:tc>
          <w:tcPr>
            <w:tcW w:w="981" w:type="dxa"/>
            <w:vMerge w:val="restart"/>
            <w:noWrap w:val="0"/>
            <w:vAlign w:val="center"/>
          </w:tcPr>
          <w:p w14:paraId="2F68D5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开水间、污洗间</w:t>
            </w:r>
          </w:p>
        </w:tc>
        <w:tc>
          <w:tcPr>
            <w:tcW w:w="2150" w:type="dxa"/>
            <w:noWrap w:val="0"/>
            <w:vAlign w:val="center"/>
          </w:tcPr>
          <w:p w14:paraId="014921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保洁工具的晾挂及摆放</w:t>
            </w:r>
          </w:p>
        </w:tc>
        <w:tc>
          <w:tcPr>
            <w:tcW w:w="2617" w:type="dxa"/>
            <w:noWrap w:val="0"/>
            <w:vAlign w:val="center"/>
          </w:tcPr>
          <w:p w14:paraId="782C79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清洁干净 分区域晾挂</w:t>
            </w:r>
          </w:p>
        </w:tc>
        <w:tc>
          <w:tcPr>
            <w:tcW w:w="2220" w:type="dxa"/>
            <w:noWrap w:val="0"/>
            <w:vAlign w:val="center"/>
          </w:tcPr>
          <w:p w14:paraId="2E5DC7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3245297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6EB3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jc w:val="center"/>
        </w:trPr>
        <w:tc>
          <w:tcPr>
            <w:tcW w:w="981" w:type="dxa"/>
            <w:vMerge w:val="continue"/>
            <w:noWrap w:val="0"/>
            <w:vAlign w:val="center"/>
          </w:tcPr>
          <w:p w14:paraId="589AF9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EB9D3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墙面、天花清洁</w:t>
            </w:r>
          </w:p>
        </w:tc>
        <w:tc>
          <w:tcPr>
            <w:tcW w:w="2617" w:type="dxa"/>
            <w:noWrap w:val="0"/>
            <w:vAlign w:val="center"/>
          </w:tcPr>
          <w:p w14:paraId="76C8FD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7EC6C75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5699CB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04D3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981" w:type="dxa"/>
            <w:vMerge w:val="continue"/>
            <w:noWrap w:val="0"/>
            <w:vAlign w:val="center"/>
          </w:tcPr>
          <w:p w14:paraId="0D476C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FE4A2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开水炉内外及放置点清洁</w:t>
            </w:r>
          </w:p>
        </w:tc>
        <w:tc>
          <w:tcPr>
            <w:tcW w:w="2617" w:type="dxa"/>
            <w:noWrap w:val="0"/>
            <w:vAlign w:val="center"/>
          </w:tcPr>
          <w:p w14:paraId="642A47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无死角  无积灰</w:t>
            </w:r>
          </w:p>
        </w:tc>
        <w:tc>
          <w:tcPr>
            <w:tcW w:w="2220" w:type="dxa"/>
            <w:noWrap w:val="0"/>
            <w:vAlign w:val="center"/>
          </w:tcPr>
          <w:p w14:paraId="5B86D9D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71232D1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D26C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981" w:type="dxa"/>
            <w:vMerge w:val="continue"/>
            <w:noWrap w:val="0"/>
            <w:vAlign w:val="center"/>
          </w:tcPr>
          <w:p w14:paraId="6865FB5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B0DD1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地面及边角、各种柜内外及顶部的清洁</w:t>
            </w:r>
          </w:p>
        </w:tc>
        <w:tc>
          <w:tcPr>
            <w:tcW w:w="2617" w:type="dxa"/>
            <w:noWrap w:val="0"/>
            <w:vAlign w:val="center"/>
          </w:tcPr>
          <w:p w14:paraId="4B058E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光亮 无污渍</w:t>
            </w:r>
          </w:p>
        </w:tc>
        <w:tc>
          <w:tcPr>
            <w:tcW w:w="2220" w:type="dxa"/>
            <w:noWrap w:val="0"/>
            <w:vAlign w:val="center"/>
          </w:tcPr>
          <w:p w14:paraId="618072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105035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1253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981" w:type="dxa"/>
            <w:vMerge w:val="continue"/>
            <w:noWrap w:val="0"/>
            <w:vAlign w:val="center"/>
          </w:tcPr>
          <w:p w14:paraId="61018CE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4272BC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水池、水槽、龙头清洁</w:t>
            </w:r>
          </w:p>
        </w:tc>
        <w:tc>
          <w:tcPr>
            <w:tcW w:w="2617" w:type="dxa"/>
            <w:noWrap w:val="0"/>
            <w:vAlign w:val="center"/>
          </w:tcPr>
          <w:p w14:paraId="61CC30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无垃圾 无灰尘 无污渍</w:t>
            </w:r>
          </w:p>
        </w:tc>
        <w:tc>
          <w:tcPr>
            <w:tcW w:w="2220" w:type="dxa"/>
            <w:noWrap w:val="0"/>
            <w:vAlign w:val="center"/>
          </w:tcPr>
          <w:p w14:paraId="286C6E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468751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9DD60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jc w:val="center"/>
        </w:trPr>
        <w:tc>
          <w:tcPr>
            <w:tcW w:w="981" w:type="dxa"/>
            <w:vMerge w:val="continue"/>
            <w:noWrap w:val="0"/>
            <w:vAlign w:val="center"/>
          </w:tcPr>
          <w:p w14:paraId="5B318E8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9F2D1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湿拖地面随时巡视保洁保持地面干爽</w:t>
            </w:r>
          </w:p>
        </w:tc>
        <w:tc>
          <w:tcPr>
            <w:tcW w:w="2617" w:type="dxa"/>
            <w:noWrap w:val="0"/>
            <w:vAlign w:val="center"/>
          </w:tcPr>
          <w:p w14:paraId="20CEA3C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无垃圾 无灰尘  无污迹 无水迹</w:t>
            </w:r>
          </w:p>
        </w:tc>
        <w:tc>
          <w:tcPr>
            <w:tcW w:w="2220" w:type="dxa"/>
            <w:noWrap w:val="0"/>
            <w:vAlign w:val="center"/>
          </w:tcPr>
          <w:p w14:paraId="15EBAF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随时</w:t>
            </w:r>
          </w:p>
        </w:tc>
        <w:tc>
          <w:tcPr>
            <w:tcW w:w="1471" w:type="dxa"/>
            <w:noWrap w:val="0"/>
            <w:vAlign w:val="center"/>
          </w:tcPr>
          <w:p w14:paraId="3335DC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D630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jc w:val="center"/>
        </w:trPr>
        <w:tc>
          <w:tcPr>
            <w:tcW w:w="981" w:type="dxa"/>
            <w:vMerge w:val="continue"/>
            <w:noWrap w:val="0"/>
            <w:vAlign w:val="center"/>
          </w:tcPr>
          <w:p w14:paraId="5A918C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670CF5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4BD48C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0866DB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1FAC819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96E2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981" w:type="dxa"/>
            <w:vMerge w:val="restart"/>
            <w:tcBorders>
              <w:bottom w:val="nil"/>
            </w:tcBorders>
            <w:noWrap w:val="0"/>
            <w:vAlign w:val="center"/>
          </w:tcPr>
          <w:p w14:paraId="73EDF6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公共卫生间</w:t>
            </w:r>
          </w:p>
        </w:tc>
        <w:tc>
          <w:tcPr>
            <w:tcW w:w="2150" w:type="dxa"/>
            <w:noWrap w:val="0"/>
            <w:vAlign w:val="center"/>
          </w:tcPr>
          <w:p w14:paraId="244BDF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镜面、台盆、台面、水龙头</w:t>
            </w:r>
          </w:p>
        </w:tc>
        <w:tc>
          <w:tcPr>
            <w:tcW w:w="2617" w:type="dxa"/>
            <w:noWrap w:val="0"/>
            <w:vAlign w:val="center"/>
          </w:tcPr>
          <w:p w14:paraId="202FBF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无死角  无积灰</w:t>
            </w:r>
          </w:p>
        </w:tc>
        <w:tc>
          <w:tcPr>
            <w:tcW w:w="2220" w:type="dxa"/>
            <w:noWrap w:val="0"/>
            <w:vAlign w:val="center"/>
          </w:tcPr>
          <w:p w14:paraId="39E722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3CA1D46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25EFB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jc w:val="center"/>
        </w:trPr>
        <w:tc>
          <w:tcPr>
            <w:tcW w:w="981" w:type="dxa"/>
            <w:vMerge w:val="continue"/>
            <w:tcBorders>
              <w:top w:val="nil"/>
              <w:bottom w:val="nil"/>
            </w:tcBorders>
            <w:noWrap w:val="0"/>
            <w:vAlign w:val="center"/>
          </w:tcPr>
          <w:p w14:paraId="51C714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306DB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马桶、蹲坑内外及台阶立面的清洁消毒</w:t>
            </w:r>
          </w:p>
        </w:tc>
        <w:tc>
          <w:tcPr>
            <w:tcW w:w="2617" w:type="dxa"/>
            <w:noWrap w:val="0"/>
            <w:vAlign w:val="center"/>
          </w:tcPr>
          <w:p w14:paraId="23ADB0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光亮 无尿渍 无异味</w:t>
            </w:r>
          </w:p>
        </w:tc>
        <w:tc>
          <w:tcPr>
            <w:tcW w:w="2220" w:type="dxa"/>
            <w:noWrap w:val="0"/>
            <w:vAlign w:val="center"/>
          </w:tcPr>
          <w:p w14:paraId="4199D80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3AF6EB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50866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jc w:val="center"/>
        </w:trPr>
        <w:tc>
          <w:tcPr>
            <w:tcW w:w="981" w:type="dxa"/>
            <w:vMerge w:val="continue"/>
            <w:tcBorders>
              <w:top w:val="nil"/>
              <w:bottom w:val="nil"/>
            </w:tcBorders>
            <w:noWrap w:val="0"/>
            <w:vAlign w:val="center"/>
          </w:tcPr>
          <w:p w14:paraId="6FE0A0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6C5161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隔板顶部及侧面清洁</w:t>
            </w:r>
          </w:p>
        </w:tc>
        <w:tc>
          <w:tcPr>
            <w:tcW w:w="2617" w:type="dxa"/>
            <w:noWrap w:val="0"/>
            <w:vAlign w:val="center"/>
          </w:tcPr>
          <w:p w14:paraId="178521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无积灰  无污迹</w:t>
            </w:r>
          </w:p>
        </w:tc>
        <w:tc>
          <w:tcPr>
            <w:tcW w:w="2220" w:type="dxa"/>
            <w:noWrap w:val="0"/>
            <w:vAlign w:val="center"/>
          </w:tcPr>
          <w:p w14:paraId="012F7C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76DA1EE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40E7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981" w:type="dxa"/>
            <w:vMerge w:val="continue"/>
            <w:tcBorders>
              <w:top w:val="nil"/>
              <w:bottom w:val="nil"/>
            </w:tcBorders>
            <w:noWrap w:val="0"/>
            <w:vAlign w:val="center"/>
          </w:tcPr>
          <w:p w14:paraId="36FB66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4235070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冲水开关周围墙面及地面的清洁</w:t>
            </w:r>
          </w:p>
        </w:tc>
        <w:tc>
          <w:tcPr>
            <w:tcW w:w="2617" w:type="dxa"/>
            <w:noWrap w:val="0"/>
            <w:vAlign w:val="center"/>
          </w:tcPr>
          <w:p w14:paraId="2FA274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开关光亮 地面边角无污迹</w:t>
            </w:r>
          </w:p>
        </w:tc>
        <w:tc>
          <w:tcPr>
            <w:tcW w:w="2220" w:type="dxa"/>
            <w:noWrap w:val="0"/>
            <w:vAlign w:val="center"/>
          </w:tcPr>
          <w:p w14:paraId="3D41A8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4E489F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D3CC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981" w:type="dxa"/>
            <w:vMerge w:val="continue"/>
            <w:tcBorders>
              <w:top w:val="nil"/>
              <w:bottom w:val="nil"/>
            </w:tcBorders>
            <w:noWrap w:val="0"/>
            <w:vAlign w:val="center"/>
          </w:tcPr>
          <w:p w14:paraId="61D1A5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A461A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男小便斗内外及底部的清洁</w:t>
            </w:r>
          </w:p>
        </w:tc>
        <w:tc>
          <w:tcPr>
            <w:tcW w:w="2617" w:type="dxa"/>
            <w:noWrap w:val="0"/>
            <w:vAlign w:val="center"/>
          </w:tcPr>
          <w:p w14:paraId="7234317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 内外无尿碱 无异味</w:t>
            </w:r>
          </w:p>
        </w:tc>
        <w:tc>
          <w:tcPr>
            <w:tcW w:w="2220" w:type="dxa"/>
            <w:noWrap w:val="0"/>
            <w:vAlign w:val="center"/>
          </w:tcPr>
          <w:p w14:paraId="48A9960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426E7CE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7DE0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jc w:val="center"/>
        </w:trPr>
        <w:tc>
          <w:tcPr>
            <w:tcW w:w="981" w:type="dxa"/>
            <w:vMerge w:val="continue"/>
            <w:tcBorders>
              <w:top w:val="nil"/>
              <w:bottom w:val="nil"/>
            </w:tcBorders>
            <w:noWrap w:val="0"/>
            <w:vAlign w:val="center"/>
          </w:tcPr>
          <w:p w14:paraId="009024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2FD7B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巡视表单规范记录</w:t>
            </w:r>
          </w:p>
        </w:tc>
        <w:tc>
          <w:tcPr>
            <w:tcW w:w="2617" w:type="dxa"/>
            <w:noWrap w:val="0"/>
            <w:vAlign w:val="center"/>
          </w:tcPr>
          <w:p w14:paraId="46A73E6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按巡视频次规范记录或者使用私</w:t>
            </w:r>
          </w:p>
          <w:p w14:paraId="60B38D8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人印章（无书写能力者）</w:t>
            </w:r>
          </w:p>
        </w:tc>
        <w:tc>
          <w:tcPr>
            <w:tcW w:w="2220" w:type="dxa"/>
            <w:noWrap w:val="0"/>
            <w:vAlign w:val="center"/>
          </w:tcPr>
          <w:p w14:paraId="0BE158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按频次记录</w:t>
            </w:r>
          </w:p>
        </w:tc>
        <w:tc>
          <w:tcPr>
            <w:tcW w:w="1471" w:type="dxa"/>
            <w:noWrap w:val="0"/>
            <w:vAlign w:val="center"/>
          </w:tcPr>
          <w:p w14:paraId="61EB77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239DC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981" w:type="dxa"/>
            <w:vMerge w:val="continue"/>
            <w:tcBorders>
              <w:top w:val="nil"/>
              <w:bottom w:val="nil"/>
            </w:tcBorders>
            <w:noWrap w:val="0"/>
            <w:vAlign w:val="center"/>
          </w:tcPr>
          <w:p w14:paraId="7E2F22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5BE05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4A5D04E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2320999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4EDBD4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CD97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jc w:val="center"/>
        </w:trPr>
        <w:tc>
          <w:tcPr>
            <w:tcW w:w="981" w:type="dxa"/>
            <w:vMerge w:val="continue"/>
            <w:tcBorders>
              <w:top w:val="nil"/>
              <w:bottom w:val="nil"/>
            </w:tcBorders>
            <w:noWrap w:val="0"/>
            <w:vAlign w:val="center"/>
          </w:tcPr>
          <w:p w14:paraId="143187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B80A7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湿拖地面</w:t>
            </w:r>
          </w:p>
        </w:tc>
        <w:tc>
          <w:tcPr>
            <w:tcW w:w="2617" w:type="dxa"/>
            <w:noWrap w:val="0"/>
            <w:vAlign w:val="center"/>
          </w:tcPr>
          <w:p w14:paraId="6EDEF7B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无垃圾 无灰尘  无污迹 无水迹</w:t>
            </w:r>
          </w:p>
        </w:tc>
        <w:tc>
          <w:tcPr>
            <w:tcW w:w="2220" w:type="dxa"/>
            <w:noWrap w:val="0"/>
            <w:vAlign w:val="center"/>
          </w:tcPr>
          <w:p w14:paraId="4AA04F8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2E8BEA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2B2AE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981" w:type="dxa"/>
            <w:vMerge w:val="continue"/>
            <w:tcBorders>
              <w:top w:val="nil"/>
            </w:tcBorders>
            <w:noWrap w:val="0"/>
            <w:vAlign w:val="center"/>
          </w:tcPr>
          <w:p w14:paraId="06D13D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E5F64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407AA0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754F64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09FCAB0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5B2E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981" w:type="dxa"/>
            <w:vMerge w:val="restart"/>
            <w:tcBorders>
              <w:bottom w:val="nil"/>
            </w:tcBorders>
            <w:noWrap w:val="0"/>
            <w:vAlign w:val="center"/>
          </w:tcPr>
          <w:p w14:paraId="1C71D3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电梯</w:t>
            </w:r>
          </w:p>
        </w:tc>
        <w:tc>
          <w:tcPr>
            <w:tcW w:w="2150" w:type="dxa"/>
            <w:noWrap w:val="0"/>
            <w:vAlign w:val="center"/>
          </w:tcPr>
          <w:p w14:paraId="7B6940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不锈钢物体表面保养（门套、护栏、扶手）</w:t>
            </w:r>
          </w:p>
        </w:tc>
        <w:tc>
          <w:tcPr>
            <w:tcW w:w="2617" w:type="dxa"/>
            <w:noWrap w:val="0"/>
            <w:vAlign w:val="center"/>
          </w:tcPr>
          <w:p w14:paraId="6C5CD8A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 无污迹 无手印 无灰尘</w:t>
            </w:r>
          </w:p>
        </w:tc>
        <w:tc>
          <w:tcPr>
            <w:tcW w:w="2220" w:type="dxa"/>
            <w:noWrap w:val="0"/>
            <w:vAlign w:val="center"/>
          </w:tcPr>
          <w:p w14:paraId="7518D1D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每天清洁不少于1次；不锈钢油保养每周不少于 1</w:t>
            </w:r>
          </w:p>
        </w:tc>
        <w:tc>
          <w:tcPr>
            <w:tcW w:w="1471" w:type="dxa"/>
            <w:noWrap w:val="0"/>
            <w:vAlign w:val="center"/>
          </w:tcPr>
          <w:p w14:paraId="0DDAB4E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D3E7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jc w:val="center"/>
        </w:trPr>
        <w:tc>
          <w:tcPr>
            <w:tcW w:w="981" w:type="dxa"/>
            <w:vMerge w:val="continue"/>
            <w:tcBorders>
              <w:top w:val="nil"/>
            </w:tcBorders>
            <w:noWrap w:val="0"/>
            <w:vAlign w:val="center"/>
          </w:tcPr>
          <w:p w14:paraId="3555FF5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0F9A9B6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电梯轿厢</w:t>
            </w:r>
          </w:p>
        </w:tc>
        <w:tc>
          <w:tcPr>
            <w:tcW w:w="2617" w:type="dxa"/>
            <w:noWrap w:val="0"/>
            <w:vAlign w:val="center"/>
          </w:tcPr>
          <w:p w14:paraId="7B22B1D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无果壳、纸屑等杂物，无污渍、</w:t>
            </w:r>
          </w:p>
          <w:p w14:paraId="24A896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无灰尘、手印、鞋印、表面光亮。</w:t>
            </w:r>
          </w:p>
        </w:tc>
        <w:tc>
          <w:tcPr>
            <w:tcW w:w="2220" w:type="dxa"/>
            <w:noWrap w:val="0"/>
            <w:vAlign w:val="center"/>
          </w:tcPr>
          <w:p w14:paraId="6098CA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对轿厢内外清洁，保持电 梯门、内壁、内槽、地面 无污迹、无杂物、无违章 张贴、无灰尘。2 次/日； 对轿厢内外进行保养 1 次 /日；消毒 2 次/日（早晚 各一次）；轿厢内壁每周用专用优质不锈钢油养护，保持轿门、内壁光亮，无水印、指印、油渍。安全 运行维护保养。每天进行电梯部件的检查、维护保养。</w:t>
            </w:r>
          </w:p>
        </w:tc>
        <w:tc>
          <w:tcPr>
            <w:tcW w:w="1471" w:type="dxa"/>
            <w:noWrap w:val="0"/>
            <w:vAlign w:val="center"/>
          </w:tcPr>
          <w:p w14:paraId="35B0A3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2991E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jc w:val="center"/>
        </w:trPr>
        <w:tc>
          <w:tcPr>
            <w:tcW w:w="981" w:type="dxa"/>
            <w:vMerge w:val="restart"/>
            <w:tcBorders>
              <w:bottom w:val="nil"/>
            </w:tcBorders>
            <w:noWrap w:val="0"/>
            <w:vAlign w:val="center"/>
          </w:tcPr>
          <w:p w14:paraId="3DC177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其他</w:t>
            </w:r>
          </w:p>
        </w:tc>
        <w:tc>
          <w:tcPr>
            <w:tcW w:w="2150" w:type="dxa"/>
            <w:noWrap w:val="0"/>
            <w:vAlign w:val="center"/>
          </w:tcPr>
          <w:p w14:paraId="441B707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消栓、消防器材的擦拭</w:t>
            </w:r>
          </w:p>
        </w:tc>
        <w:tc>
          <w:tcPr>
            <w:tcW w:w="2617" w:type="dxa"/>
            <w:noWrap w:val="0"/>
            <w:vAlign w:val="center"/>
          </w:tcPr>
          <w:p w14:paraId="2F13A1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洁净无灰尘</w:t>
            </w:r>
          </w:p>
        </w:tc>
        <w:tc>
          <w:tcPr>
            <w:tcW w:w="2220" w:type="dxa"/>
            <w:noWrap w:val="0"/>
            <w:vAlign w:val="center"/>
          </w:tcPr>
          <w:p w14:paraId="2DBB6D0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6F97B0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7E8D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jc w:val="center"/>
        </w:trPr>
        <w:tc>
          <w:tcPr>
            <w:tcW w:w="981" w:type="dxa"/>
            <w:vMerge w:val="continue"/>
            <w:tcBorders>
              <w:top w:val="nil"/>
              <w:bottom w:val="nil"/>
            </w:tcBorders>
            <w:noWrap w:val="0"/>
            <w:vAlign w:val="center"/>
          </w:tcPr>
          <w:p w14:paraId="7D33300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6A5C33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高空除尘（天花板、灯具、烟感、探头、封面等）</w:t>
            </w:r>
          </w:p>
        </w:tc>
        <w:tc>
          <w:tcPr>
            <w:tcW w:w="2617" w:type="dxa"/>
            <w:noWrap w:val="0"/>
            <w:vAlign w:val="center"/>
          </w:tcPr>
          <w:p w14:paraId="1DDC2B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12ED2A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7C5FA1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F706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jc w:val="center"/>
        </w:trPr>
        <w:tc>
          <w:tcPr>
            <w:tcW w:w="981" w:type="dxa"/>
            <w:vMerge w:val="continue"/>
            <w:tcBorders>
              <w:top w:val="nil"/>
              <w:bottom w:val="nil"/>
            </w:tcBorders>
            <w:noWrap w:val="0"/>
            <w:vAlign w:val="center"/>
          </w:tcPr>
          <w:p w14:paraId="0949C1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32805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出风口、空调及空调内滤网清洗</w:t>
            </w:r>
          </w:p>
        </w:tc>
        <w:tc>
          <w:tcPr>
            <w:tcW w:w="2617" w:type="dxa"/>
            <w:noWrap w:val="0"/>
            <w:vAlign w:val="center"/>
          </w:tcPr>
          <w:p w14:paraId="742555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无积灰 无蛛网</w:t>
            </w:r>
          </w:p>
        </w:tc>
        <w:tc>
          <w:tcPr>
            <w:tcW w:w="2220" w:type="dxa"/>
            <w:noWrap w:val="0"/>
            <w:vAlign w:val="center"/>
          </w:tcPr>
          <w:p w14:paraId="7CEF0B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每月 1 次</w:t>
            </w:r>
          </w:p>
        </w:tc>
        <w:tc>
          <w:tcPr>
            <w:tcW w:w="1471" w:type="dxa"/>
            <w:noWrap w:val="0"/>
            <w:vAlign w:val="center"/>
          </w:tcPr>
          <w:p w14:paraId="694BC1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CC15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jc w:val="center"/>
        </w:trPr>
        <w:tc>
          <w:tcPr>
            <w:tcW w:w="981" w:type="dxa"/>
            <w:vMerge w:val="continue"/>
            <w:tcBorders>
              <w:top w:val="nil"/>
              <w:bottom w:val="nil"/>
            </w:tcBorders>
            <w:noWrap w:val="0"/>
            <w:vAlign w:val="center"/>
          </w:tcPr>
          <w:p w14:paraId="2D332E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798C0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垃圾篓及各种垃圾桶的清洁</w:t>
            </w:r>
          </w:p>
        </w:tc>
        <w:tc>
          <w:tcPr>
            <w:tcW w:w="2617" w:type="dxa"/>
            <w:noWrap w:val="0"/>
            <w:vAlign w:val="center"/>
          </w:tcPr>
          <w:p w14:paraId="4062811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清洁 无异味</w:t>
            </w:r>
          </w:p>
        </w:tc>
        <w:tc>
          <w:tcPr>
            <w:tcW w:w="2220" w:type="dxa"/>
            <w:noWrap w:val="0"/>
            <w:vAlign w:val="center"/>
          </w:tcPr>
          <w:p w14:paraId="39C330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必要时</w:t>
            </w:r>
          </w:p>
        </w:tc>
        <w:tc>
          <w:tcPr>
            <w:tcW w:w="1471" w:type="dxa"/>
            <w:noWrap w:val="0"/>
            <w:vAlign w:val="center"/>
          </w:tcPr>
          <w:p w14:paraId="30ED8FD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58F81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jc w:val="center"/>
        </w:trPr>
        <w:tc>
          <w:tcPr>
            <w:tcW w:w="981" w:type="dxa"/>
            <w:vMerge w:val="continue"/>
            <w:tcBorders>
              <w:top w:val="nil"/>
              <w:bottom w:val="nil"/>
            </w:tcBorders>
            <w:noWrap w:val="0"/>
            <w:vAlign w:val="center"/>
          </w:tcPr>
          <w:p w14:paraId="62FED95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0A6CFC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门头、门面、门框的清洁</w:t>
            </w:r>
          </w:p>
        </w:tc>
        <w:tc>
          <w:tcPr>
            <w:tcW w:w="2617" w:type="dxa"/>
            <w:noWrap w:val="0"/>
            <w:vAlign w:val="center"/>
          </w:tcPr>
          <w:p w14:paraId="2739AC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干净 无灰尘 无蛛网</w:t>
            </w:r>
          </w:p>
        </w:tc>
        <w:tc>
          <w:tcPr>
            <w:tcW w:w="2220" w:type="dxa"/>
            <w:noWrap w:val="0"/>
            <w:vAlign w:val="center"/>
          </w:tcPr>
          <w:p w14:paraId="17BD25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1F9A03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1D43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jc w:val="center"/>
        </w:trPr>
        <w:tc>
          <w:tcPr>
            <w:tcW w:w="981" w:type="dxa"/>
            <w:vMerge w:val="continue"/>
            <w:tcBorders>
              <w:top w:val="nil"/>
              <w:bottom w:val="nil"/>
            </w:tcBorders>
            <w:noWrap w:val="0"/>
            <w:vAlign w:val="center"/>
          </w:tcPr>
          <w:p w14:paraId="34393E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68F20E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玻璃及纱窗的清洁</w:t>
            </w:r>
          </w:p>
        </w:tc>
        <w:tc>
          <w:tcPr>
            <w:tcW w:w="2617" w:type="dxa"/>
            <w:noWrap w:val="0"/>
            <w:vAlign w:val="center"/>
          </w:tcPr>
          <w:p w14:paraId="6930D8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干净 无灰尘 无水迹</w:t>
            </w:r>
          </w:p>
        </w:tc>
        <w:tc>
          <w:tcPr>
            <w:tcW w:w="2220" w:type="dxa"/>
            <w:noWrap w:val="0"/>
            <w:vAlign w:val="center"/>
          </w:tcPr>
          <w:p w14:paraId="155D115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每月 1 次</w:t>
            </w:r>
          </w:p>
        </w:tc>
        <w:tc>
          <w:tcPr>
            <w:tcW w:w="1471" w:type="dxa"/>
            <w:noWrap w:val="0"/>
            <w:vAlign w:val="center"/>
          </w:tcPr>
          <w:p w14:paraId="5F3E8A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BE6D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981" w:type="dxa"/>
            <w:vMerge w:val="continue"/>
            <w:tcBorders>
              <w:top w:val="nil"/>
            </w:tcBorders>
            <w:noWrap w:val="0"/>
            <w:vAlign w:val="center"/>
          </w:tcPr>
          <w:p w14:paraId="16C84E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4B99AE0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地面刷洗</w:t>
            </w:r>
          </w:p>
        </w:tc>
        <w:tc>
          <w:tcPr>
            <w:tcW w:w="2617" w:type="dxa"/>
            <w:noWrap w:val="0"/>
            <w:vAlign w:val="center"/>
          </w:tcPr>
          <w:p w14:paraId="184AC5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清洁 无结垢 无积灰</w:t>
            </w:r>
          </w:p>
        </w:tc>
        <w:tc>
          <w:tcPr>
            <w:tcW w:w="2220" w:type="dxa"/>
            <w:noWrap w:val="0"/>
            <w:vAlign w:val="center"/>
          </w:tcPr>
          <w:p w14:paraId="6547F7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1AE16E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4375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981" w:type="dxa"/>
            <w:vMerge w:val="restart"/>
            <w:tcBorders>
              <w:bottom w:val="nil"/>
            </w:tcBorders>
            <w:noWrap w:val="0"/>
            <w:vAlign w:val="center"/>
          </w:tcPr>
          <w:p w14:paraId="4719E7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其他</w:t>
            </w:r>
          </w:p>
        </w:tc>
        <w:tc>
          <w:tcPr>
            <w:tcW w:w="2150" w:type="dxa"/>
            <w:noWrap w:val="0"/>
            <w:vAlign w:val="center"/>
          </w:tcPr>
          <w:p w14:paraId="24F1952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电梯厅镜面砖晶面翻新</w:t>
            </w:r>
          </w:p>
        </w:tc>
        <w:tc>
          <w:tcPr>
            <w:tcW w:w="2617" w:type="dxa"/>
            <w:noWrap w:val="0"/>
            <w:vAlign w:val="center"/>
          </w:tcPr>
          <w:p w14:paraId="40F24E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光亮如新</w:t>
            </w:r>
          </w:p>
        </w:tc>
        <w:tc>
          <w:tcPr>
            <w:tcW w:w="2220" w:type="dxa"/>
            <w:noWrap w:val="0"/>
            <w:vAlign w:val="center"/>
          </w:tcPr>
          <w:p w14:paraId="734926A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不少于 1 次/年</w:t>
            </w:r>
          </w:p>
        </w:tc>
        <w:tc>
          <w:tcPr>
            <w:tcW w:w="1471" w:type="dxa"/>
            <w:noWrap w:val="0"/>
            <w:vAlign w:val="center"/>
          </w:tcPr>
          <w:p w14:paraId="132FA7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6EDA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981" w:type="dxa"/>
            <w:vMerge w:val="continue"/>
            <w:tcBorders>
              <w:top w:val="nil"/>
              <w:bottom w:val="nil"/>
            </w:tcBorders>
            <w:noWrap w:val="0"/>
            <w:vAlign w:val="center"/>
          </w:tcPr>
          <w:p w14:paraId="647247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84F418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公共大厅大理石晶面翻新</w:t>
            </w:r>
          </w:p>
        </w:tc>
        <w:tc>
          <w:tcPr>
            <w:tcW w:w="2617" w:type="dxa"/>
            <w:noWrap w:val="0"/>
            <w:vAlign w:val="center"/>
          </w:tcPr>
          <w:p w14:paraId="27E02A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光亮如新</w:t>
            </w:r>
          </w:p>
        </w:tc>
        <w:tc>
          <w:tcPr>
            <w:tcW w:w="2220" w:type="dxa"/>
            <w:noWrap w:val="0"/>
            <w:vAlign w:val="center"/>
          </w:tcPr>
          <w:p w14:paraId="0E0DD95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不少于 1 次/年</w:t>
            </w:r>
          </w:p>
        </w:tc>
        <w:tc>
          <w:tcPr>
            <w:tcW w:w="1471" w:type="dxa"/>
            <w:noWrap w:val="0"/>
            <w:vAlign w:val="center"/>
          </w:tcPr>
          <w:p w14:paraId="4BD3AA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1CF3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jc w:val="center"/>
        </w:trPr>
        <w:tc>
          <w:tcPr>
            <w:tcW w:w="981" w:type="dxa"/>
            <w:vMerge w:val="continue"/>
            <w:tcBorders>
              <w:top w:val="nil"/>
            </w:tcBorders>
            <w:noWrap w:val="0"/>
            <w:vAlign w:val="center"/>
          </w:tcPr>
          <w:p w14:paraId="28BA0D5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359C89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窗帘及隔帘的拆、挂外墙面、</w:t>
            </w:r>
          </w:p>
        </w:tc>
        <w:tc>
          <w:tcPr>
            <w:tcW w:w="2617" w:type="dxa"/>
            <w:noWrap w:val="0"/>
            <w:vAlign w:val="center"/>
          </w:tcPr>
          <w:p w14:paraId="206FDFD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无污迹 整洁 清洁 无结垢 无积灰</w:t>
            </w:r>
          </w:p>
        </w:tc>
        <w:tc>
          <w:tcPr>
            <w:tcW w:w="2220" w:type="dxa"/>
            <w:noWrap w:val="0"/>
            <w:vAlign w:val="center"/>
          </w:tcPr>
          <w:p w14:paraId="621C9B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不少于 1 次/年</w:t>
            </w:r>
          </w:p>
        </w:tc>
        <w:tc>
          <w:tcPr>
            <w:tcW w:w="1471" w:type="dxa"/>
            <w:noWrap w:val="0"/>
            <w:vAlign w:val="center"/>
          </w:tcPr>
          <w:p w14:paraId="4E172A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2DE9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jc w:val="center"/>
        </w:trPr>
        <w:tc>
          <w:tcPr>
            <w:tcW w:w="981" w:type="dxa"/>
            <w:vMerge w:val="restart"/>
            <w:noWrap w:val="0"/>
            <w:vAlign w:val="center"/>
          </w:tcPr>
          <w:p w14:paraId="16E103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室外保</w:t>
            </w:r>
          </w:p>
          <w:p w14:paraId="3A2EC13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洁工作</w:t>
            </w:r>
          </w:p>
          <w:p w14:paraId="1A114E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内容</w:t>
            </w:r>
          </w:p>
        </w:tc>
        <w:tc>
          <w:tcPr>
            <w:tcW w:w="2150" w:type="dxa"/>
            <w:noWrap w:val="0"/>
            <w:vAlign w:val="center"/>
          </w:tcPr>
          <w:p w14:paraId="32555D5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区域内道路、通道、绿地、台坡、台阶的打扫</w:t>
            </w:r>
          </w:p>
        </w:tc>
        <w:tc>
          <w:tcPr>
            <w:tcW w:w="2617" w:type="dxa"/>
            <w:noWrap w:val="0"/>
            <w:vAlign w:val="center"/>
          </w:tcPr>
          <w:p w14:paraId="22DE43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无积土、地面无积水、无纸屑杂 物，8:00 前完成</w:t>
            </w:r>
          </w:p>
        </w:tc>
        <w:tc>
          <w:tcPr>
            <w:tcW w:w="2220" w:type="dxa"/>
            <w:noWrap w:val="0"/>
            <w:vAlign w:val="center"/>
          </w:tcPr>
          <w:p w14:paraId="5C69689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50C9D7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FC65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jc w:val="center"/>
        </w:trPr>
        <w:tc>
          <w:tcPr>
            <w:tcW w:w="981" w:type="dxa"/>
            <w:vMerge w:val="continue"/>
            <w:noWrap w:val="0"/>
            <w:vAlign w:val="center"/>
          </w:tcPr>
          <w:p w14:paraId="563D0C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09BFEA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台阶、坡道石材地面刷洗</w:t>
            </w:r>
          </w:p>
        </w:tc>
        <w:tc>
          <w:tcPr>
            <w:tcW w:w="2617" w:type="dxa"/>
            <w:noWrap w:val="0"/>
            <w:vAlign w:val="center"/>
          </w:tcPr>
          <w:p w14:paraId="3EB16A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无污迹、积垢</w:t>
            </w:r>
          </w:p>
        </w:tc>
        <w:tc>
          <w:tcPr>
            <w:tcW w:w="2220" w:type="dxa"/>
            <w:noWrap w:val="0"/>
            <w:vAlign w:val="center"/>
          </w:tcPr>
          <w:p w14:paraId="539BCDC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1BB4EA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B91E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8" w:hRule="atLeast"/>
          <w:jc w:val="center"/>
        </w:trPr>
        <w:tc>
          <w:tcPr>
            <w:tcW w:w="981" w:type="dxa"/>
            <w:vMerge w:val="continue"/>
            <w:noWrap w:val="0"/>
            <w:vAlign w:val="center"/>
          </w:tcPr>
          <w:p w14:paraId="50C6EE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64F5E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道路、通道、绿地、台坡、台阶的巡视及清洁</w:t>
            </w:r>
          </w:p>
        </w:tc>
        <w:tc>
          <w:tcPr>
            <w:tcW w:w="2617" w:type="dxa"/>
            <w:noWrap w:val="0"/>
            <w:vAlign w:val="center"/>
          </w:tcPr>
          <w:p w14:paraId="5EE05B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地面无积水、无纸屑杂物、无悬 挂物、无垃圾</w:t>
            </w:r>
          </w:p>
        </w:tc>
        <w:tc>
          <w:tcPr>
            <w:tcW w:w="2220" w:type="dxa"/>
            <w:noWrap w:val="0"/>
            <w:vAlign w:val="center"/>
          </w:tcPr>
          <w:p w14:paraId="5C5BE2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主要区域：2 次/小时，其</w:t>
            </w:r>
          </w:p>
          <w:p w14:paraId="3DCF65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他区域 1 次/小时</w:t>
            </w:r>
          </w:p>
        </w:tc>
        <w:tc>
          <w:tcPr>
            <w:tcW w:w="1471" w:type="dxa"/>
            <w:noWrap w:val="0"/>
            <w:vAlign w:val="center"/>
          </w:tcPr>
          <w:p w14:paraId="73BE7E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2A3E1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jc w:val="center"/>
        </w:trPr>
        <w:tc>
          <w:tcPr>
            <w:tcW w:w="981" w:type="dxa"/>
            <w:vMerge w:val="continue"/>
            <w:noWrap w:val="0"/>
            <w:vAlign w:val="center"/>
          </w:tcPr>
          <w:p w14:paraId="3435D72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6007BB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路牙上杂草的清除</w:t>
            </w:r>
          </w:p>
        </w:tc>
        <w:tc>
          <w:tcPr>
            <w:tcW w:w="2617" w:type="dxa"/>
            <w:noWrap w:val="0"/>
            <w:vAlign w:val="center"/>
          </w:tcPr>
          <w:p w14:paraId="09A40D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无杂草生长</w:t>
            </w:r>
          </w:p>
        </w:tc>
        <w:tc>
          <w:tcPr>
            <w:tcW w:w="2220" w:type="dxa"/>
            <w:noWrap w:val="0"/>
            <w:vAlign w:val="center"/>
          </w:tcPr>
          <w:p w14:paraId="7314FD2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5A1C68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2D11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jc w:val="center"/>
        </w:trPr>
        <w:tc>
          <w:tcPr>
            <w:tcW w:w="981" w:type="dxa"/>
            <w:vMerge w:val="continue"/>
            <w:noWrap w:val="0"/>
            <w:vAlign w:val="center"/>
          </w:tcPr>
          <w:p w14:paraId="322B37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72FE79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道路两旁窨井内杂物的定期清</w:t>
            </w:r>
          </w:p>
        </w:tc>
        <w:tc>
          <w:tcPr>
            <w:tcW w:w="2617" w:type="dxa"/>
            <w:noWrap w:val="0"/>
            <w:vAlign w:val="center"/>
          </w:tcPr>
          <w:p w14:paraId="1A9E305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无淤泥垃圾</w:t>
            </w:r>
          </w:p>
        </w:tc>
        <w:tc>
          <w:tcPr>
            <w:tcW w:w="2220" w:type="dxa"/>
            <w:noWrap w:val="0"/>
            <w:vAlign w:val="center"/>
          </w:tcPr>
          <w:p w14:paraId="35A602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每月 1 次</w:t>
            </w:r>
          </w:p>
        </w:tc>
        <w:tc>
          <w:tcPr>
            <w:tcW w:w="1471" w:type="dxa"/>
            <w:noWrap w:val="0"/>
            <w:vAlign w:val="center"/>
          </w:tcPr>
          <w:p w14:paraId="4CF9391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F823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jc w:val="center"/>
        </w:trPr>
        <w:tc>
          <w:tcPr>
            <w:tcW w:w="981" w:type="dxa"/>
            <w:vMerge w:val="continue"/>
            <w:noWrap w:val="0"/>
            <w:vAlign w:val="center"/>
          </w:tcPr>
          <w:p w14:paraId="362FDB5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6330E8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雨雪天气是及时清除积雪、积水并在必要时铺设防滑垫等物</w:t>
            </w:r>
          </w:p>
        </w:tc>
        <w:tc>
          <w:tcPr>
            <w:tcW w:w="2617" w:type="dxa"/>
            <w:noWrap w:val="0"/>
            <w:vAlign w:val="center"/>
          </w:tcPr>
          <w:p w14:paraId="25941C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无积雪、积水、路面不湿滑</w:t>
            </w:r>
          </w:p>
        </w:tc>
        <w:tc>
          <w:tcPr>
            <w:tcW w:w="2220" w:type="dxa"/>
            <w:noWrap w:val="0"/>
            <w:vAlign w:val="center"/>
          </w:tcPr>
          <w:p w14:paraId="70286F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必要时</w:t>
            </w:r>
          </w:p>
        </w:tc>
        <w:tc>
          <w:tcPr>
            <w:tcW w:w="1471" w:type="dxa"/>
            <w:noWrap w:val="0"/>
            <w:vAlign w:val="center"/>
          </w:tcPr>
          <w:p w14:paraId="086071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4CF3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jc w:val="center"/>
        </w:trPr>
        <w:tc>
          <w:tcPr>
            <w:tcW w:w="981" w:type="dxa"/>
            <w:vMerge w:val="continue"/>
            <w:noWrap w:val="0"/>
            <w:vAlign w:val="center"/>
          </w:tcPr>
          <w:p w14:paraId="57FCB2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D6EAF3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区域内所有屋面、顶棚、平台的清洁并填写巡视记录</w:t>
            </w:r>
          </w:p>
        </w:tc>
        <w:tc>
          <w:tcPr>
            <w:tcW w:w="2617" w:type="dxa"/>
            <w:noWrap w:val="0"/>
            <w:vAlign w:val="center"/>
          </w:tcPr>
          <w:p w14:paraId="312497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无垃圾杂物、按巡视要求认真记 录</w:t>
            </w:r>
          </w:p>
        </w:tc>
        <w:tc>
          <w:tcPr>
            <w:tcW w:w="2220" w:type="dxa"/>
            <w:noWrap w:val="0"/>
            <w:vAlign w:val="center"/>
          </w:tcPr>
          <w:p w14:paraId="252DE1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6F13FD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E169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981" w:type="dxa"/>
            <w:vMerge w:val="continue"/>
            <w:noWrap w:val="0"/>
            <w:vAlign w:val="center"/>
          </w:tcPr>
          <w:p w14:paraId="04E0175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7B04D9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室外栏杆、路灯、标识牌的清</w:t>
            </w:r>
          </w:p>
        </w:tc>
        <w:tc>
          <w:tcPr>
            <w:tcW w:w="2617" w:type="dxa"/>
            <w:noWrap w:val="0"/>
            <w:vAlign w:val="center"/>
          </w:tcPr>
          <w:p w14:paraId="566040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洁净、无污迹</w:t>
            </w:r>
          </w:p>
        </w:tc>
        <w:tc>
          <w:tcPr>
            <w:tcW w:w="2220" w:type="dxa"/>
            <w:noWrap w:val="0"/>
            <w:vAlign w:val="center"/>
          </w:tcPr>
          <w:p w14:paraId="40AC8F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151153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5A8F94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jc w:val="center"/>
        </w:trPr>
        <w:tc>
          <w:tcPr>
            <w:tcW w:w="981" w:type="dxa"/>
            <w:vMerge w:val="continue"/>
            <w:noWrap w:val="0"/>
            <w:vAlign w:val="center"/>
          </w:tcPr>
          <w:p w14:paraId="3C25DE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73B888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及时清理张贴的小广告</w:t>
            </w:r>
          </w:p>
        </w:tc>
        <w:tc>
          <w:tcPr>
            <w:tcW w:w="2617" w:type="dxa"/>
            <w:noWrap w:val="0"/>
            <w:vAlign w:val="center"/>
          </w:tcPr>
          <w:p w14:paraId="5DDD8C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无小广告</w:t>
            </w:r>
          </w:p>
        </w:tc>
        <w:tc>
          <w:tcPr>
            <w:tcW w:w="2220" w:type="dxa"/>
            <w:noWrap w:val="0"/>
            <w:vAlign w:val="center"/>
          </w:tcPr>
          <w:p w14:paraId="5BC024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随时</w:t>
            </w:r>
          </w:p>
        </w:tc>
        <w:tc>
          <w:tcPr>
            <w:tcW w:w="1471" w:type="dxa"/>
            <w:noWrap w:val="0"/>
            <w:vAlign w:val="center"/>
          </w:tcPr>
          <w:p w14:paraId="33A9AC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ECD2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981" w:type="dxa"/>
            <w:vMerge w:val="continue"/>
            <w:noWrap w:val="0"/>
            <w:vAlign w:val="center"/>
          </w:tcPr>
          <w:p w14:paraId="353274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608D58B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定期清洁室外垃圾桶</w:t>
            </w:r>
          </w:p>
        </w:tc>
        <w:tc>
          <w:tcPr>
            <w:tcW w:w="2617" w:type="dxa"/>
            <w:noWrap w:val="0"/>
            <w:vAlign w:val="center"/>
          </w:tcPr>
          <w:p w14:paraId="0AB5547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干净无污迹</w:t>
            </w:r>
          </w:p>
        </w:tc>
        <w:tc>
          <w:tcPr>
            <w:tcW w:w="2220" w:type="dxa"/>
            <w:noWrap w:val="0"/>
            <w:vAlign w:val="center"/>
          </w:tcPr>
          <w:p w14:paraId="1BB2D0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55DACE1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FE653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jc w:val="center"/>
        </w:trPr>
        <w:tc>
          <w:tcPr>
            <w:tcW w:w="981" w:type="dxa"/>
            <w:vMerge w:val="continue"/>
            <w:noWrap w:val="0"/>
            <w:vAlign w:val="center"/>
          </w:tcPr>
          <w:p w14:paraId="643CBAA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90BD97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清洁室外各类座椅</w:t>
            </w:r>
          </w:p>
        </w:tc>
        <w:tc>
          <w:tcPr>
            <w:tcW w:w="2617" w:type="dxa"/>
            <w:noWrap w:val="0"/>
            <w:vAlign w:val="center"/>
          </w:tcPr>
          <w:p w14:paraId="4A15C5E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无水迹无灰尘</w:t>
            </w:r>
          </w:p>
        </w:tc>
        <w:tc>
          <w:tcPr>
            <w:tcW w:w="2220" w:type="dxa"/>
            <w:noWrap w:val="0"/>
            <w:vAlign w:val="center"/>
          </w:tcPr>
          <w:p w14:paraId="5F855E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4D16BA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230A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981" w:type="dxa"/>
            <w:vMerge w:val="continue"/>
            <w:noWrap w:val="0"/>
            <w:vAlign w:val="center"/>
          </w:tcPr>
          <w:p w14:paraId="7294A9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36ECD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394E05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无异味、不滴漏、不满不溢</w:t>
            </w:r>
          </w:p>
        </w:tc>
        <w:tc>
          <w:tcPr>
            <w:tcW w:w="2220" w:type="dxa"/>
            <w:noWrap w:val="0"/>
            <w:vAlign w:val="center"/>
          </w:tcPr>
          <w:p w14:paraId="4B2533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2328B6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D115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jc w:val="center"/>
        </w:trPr>
        <w:tc>
          <w:tcPr>
            <w:tcW w:w="981" w:type="dxa"/>
            <w:vMerge w:val="continue"/>
            <w:noWrap w:val="0"/>
            <w:vAlign w:val="center"/>
          </w:tcPr>
          <w:p w14:paraId="0A66B45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2109D5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不锈钢物体表面保养（护栏、扶手）</w:t>
            </w:r>
          </w:p>
        </w:tc>
        <w:tc>
          <w:tcPr>
            <w:tcW w:w="2617" w:type="dxa"/>
            <w:noWrap w:val="0"/>
            <w:vAlign w:val="center"/>
          </w:tcPr>
          <w:p w14:paraId="42F4C5E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无灰尘污迹</w:t>
            </w:r>
          </w:p>
        </w:tc>
        <w:tc>
          <w:tcPr>
            <w:tcW w:w="2220" w:type="dxa"/>
            <w:noWrap w:val="0"/>
            <w:vAlign w:val="center"/>
          </w:tcPr>
          <w:p w14:paraId="4F5B00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11A447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4344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jc w:val="center"/>
        </w:trPr>
        <w:tc>
          <w:tcPr>
            <w:tcW w:w="981" w:type="dxa"/>
            <w:vMerge w:val="continue"/>
            <w:noWrap w:val="0"/>
            <w:vAlign w:val="center"/>
          </w:tcPr>
          <w:p w14:paraId="70D189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4E06E8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2米以下幕墙的清洁</w:t>
            </w:r>
          </w:p>
        </w:tc>
        <w:tc>
          <w:tcPr>
            <w:tcW w:w="2617" w:type="dxa"/>
            <w:noWrap w:val="0"/>
            <w:vAlign w:val="center"/>
          </w:tcPr>
          <w:p w14:paraId="5C2BFC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洁净无灰尘</w:t>
            </w:r>
          </w:p>
        </w:tc>
        <w:tc>
          <w:tcPr>
            <w:tcW w:w="2220" w:type="dxa"/>
            <w:noWrap w:val="0"/>
            <w:vAlign w:val="center"/>
          </w:tcPr>
          <w:p w14:paraId="216312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453D68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804E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981" w:type="dxa"/>
            <w:vMerge w:val="continue"/>
            <w:noWrap w:val="0"/>
            <w:vAlign w:val="center"/>
          </w:tcPr>
          <w:p w14:paraId="23C3C4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983D7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室外消防栓、消防器材的擦拭</w:t>
            </w:r>
          </w:p>
        </w:tc>
        <w:tc>
          <w:tcPr>
            <w:tcW w:w="2617" w:type="dxa"/>
            <w:noWrap w:val="0"/>
            <w:vAlign w:val="center"/>
          </w:tcPr>
          <w:p w14:paraId="439F4E9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洁净无灰尘</w:t>
            </w:r>
          </w:p>
        </w:tc>
        <w:tc>
          <w:tcPr>
            <w:tcW w:w="2220" w:type="dxa"/>
            <w:noWrap w:val="0"/>
            <w:vAlign w:val="center"/>
          </w:tcPr>
          <w:p w14:paraId="5BD0E34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53D2FE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8A11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jc w:val="center"/>
        </w:trPr>
        <w:tc>
          <w:tcPr>
            <w:tcW w:w="981" w:type="dxa"/>
            <w:vMerge w:val="continue"/>
            <w:noWrap w:val="0"/>
            <w:vAlign w:val="center"/>
          </w:tcPr>
          <w:p w14:paraId="7C6C54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9BD74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高空除尘（室外连廊顶部、探头、墙面等）</w:t>
            </w:r>
          </w:p>
        </w:tc>
        <w:tc>
          <w:tcPr>
            <w:tcW w:w="2617" w:type="dxa"/>
            <w:noWrap w:val="0"/>
            <w:vAlign w:val="center"/>
          </w:tcPr>
          <w:p w14:paraId="272EC0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035664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4F9671D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57B2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981" w:type="dxa"/>
            <w:vMerge w:val="continue"/>
            <w:noWrap w:val="0"/>
            <w:vAlign w:val="center"/>
          </w:tcPr>
          <w:p w14:paraId="4873639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236FC0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出风口的清洁</w:t>
            </w:r>
          </w:p>
        </w:tc>
        <w:tc>
          <w:tcPr>
            <w:tcW w:w="2617" w:type="dxa"/>
            <w:noWrap w:val="0"/>
            <w:vAlign w:val="center"/>
          </w:tcPr>
          <w:p w14:paraId="7C6850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无积灰 无蛛网</w:t>
            </w:r>
          </w:p>
        </w:tc>
        <w:tc>
          <w:tcPr>
            <w:tcW w:w="2220" w:type="dxa"/>
            <w:noWrap w:val="0"/>
            <w:vAlign w:val="center"/>
          </w:tcPr>
          <w:p w14:paraId="1491D17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302570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5A8FD7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jc w:val="center"/>
        </w:trPr>
        <w:tc>
          <w:tcPr>
            <w:tcW w:w="981" w:type="dxa"/>
            <w:noWrap w:val="0"/>
            <w:vAlign w:val="center"/>
          </w:tcPr>
          <w:p w14:paraId="66C60C9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其他</w:t>
            </w:r>
          </w:p>
        </w:tc>
        <w:tc>
          <w:tcPr>
            <w:tcW w:w="2150" w:type="dxa"/>
            <w:noWrap w:val="0"/>
            <w:vAlign w:val="center"/>
          </w:tcPr>
          <w:p w14:paraId="28C46A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化粪池清理</w:t>
            </w:r>
          </w:p>
        </w:tc>
        <w:tc>
          <w:tcPr>
            <w:tcW w:w="2617" w:type="dxa"/>
            <w:noWrap w:val="0"/>
            <w:vAlign w:val="center"/>
          </w:tcPr>
          <w:p w14:paraId="04EBC46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出入口畅通，井内无积物浮于水面上，池盖无污渍、污物，清理后及时清洁现场</w:t>
            </w:r>
          </w:p>
        </w:tc>
        <w:tc>
          <w:tcPr>
            <w:tcW w:w="2220" w:type="dxa"/>
            <w:noWrap w:val="0"/>
            <w:vAlign w:val="center"/>
          </w:tcPr>
          <w:p w14:paraId="4AFABA8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不少于 1 次/年</w:t>
            </w:r>
          </w:p>
        </w:tc>
        <w:tc>
          <w:tcPr>
            <w:tcW w:w="1471" w:type="dxa"/>
            <w:noWrap w:val="0"/>
            <w:vAlign w:val="center"/>
          </w:tcPr>
          <w:p w14:paraId="237D77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CB2F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jc w:val="center"/>
        </w:trPr>
        <w:tc>
          <w:tcPr>
            <w:tcW w:w="981" w:type="dxa"/>
            <w:vMerge w:val="restart"/>
            <w:shd w:val="clear" w:color="auto" w:fill="auto"/>
            <w:noWrap w:val="0"/>
            <w:vAlign w:val="center"/>
          </w:tcPr>
          <w:p w14:paraId="711D15D8">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服务</w:t>
            </w:r>
          </w:p>
          <w:p w14:paraId="3F5F7DBD">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效能</w:t>
            </w:r>
          </w:p>
        </w:tc>
        <w:tc>
          <w:tcPr>
            <w:tcW w:w="2150" w:type="dxa"/>
            <w:shd w:val="clear" w:color="auto" w:fill="auto"/>
            <w:noWrap w:val="0"/>
            <w:vAlign w:val="center"/>
          </w:tcPr>
          <w:p w14:paraId="07F0CD89">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文明服务意识</w:t>
            </w:r>
          </w:p>
        </w:tc>
        <w:tc>
          <w:tcPr>
            <w:tcW w:w="2617" w:type="dxa"/>
            <w:shd w:val="clear" w:color="auto" w:fill="auto"/>
            <w:noWrap w:val="0"/>
            <w:vAlign w:val="center"/>
          </w:tcPr>
          <w:p w14:paraId="087B1B04">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无被客户有效投诉或上级检查未产生不良影响</w:t>
            </w:r>
          </w:p>
        </w:tc>
        <w:tc>
          <w:tcPr>
            <w:tcW w:w="2220" w:type="dxa"/>
            <w:shd w:val="clear" w:color="auto" w:fill="auto"/>
            <w:noWrap w:val="0"/>
            <w:vAlign w:val="center"/>
          </w:tcPr>
          <w:p w14:paraId="7E3EA006">
            <w:pPr>
              <w:pStyle w:val="522"/>
              <w:spacing w:line="360" w:lineRule="auto"/>
              <w:jc w:val="center"/>
              <w:rPr>
                <w:rFonts w:hint="eastAsia" w:ascii="仿宋" w:hAnsi="仿宋" w:eastAsia="仿宋" w:cs="仿宋"/>
                <w:sz w:val="21"/>
                <w:szCs w:val="21"/>
                <w:highlight w:val="none"/>
                <w:lang w:val="en-US" w:eastAsia="zh-CN" w:bidi="ar-SA"/>
              </w:rPr>
            </w:pPr>
          </w:p>
        </w:tc>
        <w:tc>
          <w:tcPr>
            <w:tcW w:w="1471" w:type="dxa"/>
            <w:shd w:val="clear" w:color="auto" w:fill="auto"/>
            <w:noWrap w:val="0"/>
            <w:vAlign w:val="center"/>
          </w:tcPr>
          <w:p w14:paraId="1E654859">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不达标扣1-10分/次</w:t>
            </w:r>
          </w:p>
        </w:tc>
      </w:tr>
      <w:tr w14:paraId="209DA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jc w:val="center"/>
        </w:trPr>
        <w:tc>
          <w:tcPr>
            <w:tcW w:w="981" w:type="dxa"/>
            <w:vMerge w:val="continue"/>
            <w:noWrap w:val="0"/>
            <w:vAlign w:val="center"/>
          </w:tcPr>
          <w:p w14:paraId="4213D1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p>
        </w:tc>
        <w:tc>
          <w:tcPr>
            <w:tcW w:w="2150" w:type="dxa"/>
            <w:shd w:val="clear" w:color="auto" w:fill="auto"/>
            <w:noWrap w:val="0"/>
            <w:vAlign w:val="center"/>
          </w:tcPr>
          <w:p w14:paraId="54B862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重大会议（活动）和其他任务保障</w:t>
            </w:r>
          </w:p>
        </w:tc>
        <w:tc>
          <w:tcPr>
            <w:tcW w:w="2617" w:type="dxa"/>
            <w:shd w:val="clear" w:color="auto" w:fill="auto"/>
            <w:noWrap w:val="0"/>
            <w:vAlign w:val="center"/>
          </w:tcPr>
          <w:p w14:paraId="68ABD7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在重大活动（会议）期间保洁和交办的保洁任务按时按质按量完成</w:t>
            </w:r>
          </w:p>
        </w:tc>
        <w:tc>
          <w:tcPr>
            <w:tcW w:w="2220" w:type="dxa"/>
            <w:shd w:val="clear" w:color="auto" w:fill="auto"/>
            <w:noWrap w:val="0"/>
            <w:vAlign w:val="center"/>
          </w:tcPr>
          <w:p w14:paraId="088958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p>
        </w:tc>
        <w:tc>
          <w:tcPr>
            <w:tcW w:w="1471" w:type="dxa"/>
            <w:shd w:val="clear" w:color="auto" w:fill="auto"/>
            <w:noWrap w:val="0"/>
            <w:vAlign w:val="center"/>
          </w:tcPr>
          <w:p w14:paraId="6DCAE2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不达标扣5-10分/次</w:t>
            </w:r>
          </w:p>
        </w:tc>
      </w:tr>
    </w:tbl>
    <w:p w14:paraId="6A9A001C">
      <w:pPr>
        <w:pStyle w:val="330"/>
        <w:rPr>
          <w:rFonts w:hint="eastAsia" w:ascii="仿宋" w:hAnsi="仿宋" w:eastAsia="仿宋" w:cs="仿宋"/>
          <w:sz w:val="21"/>
          <w:szCs w:val="21"/>
          <w:lang w:val="zh-CN" w:eastAsia="zh-CN"/>
        </w:rPr>
      </w:pPr>
    </w:p>
    <w:bookmarkEnd w:id="119"/>
    <w:p w14:paraId="023AB9DE">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eastAsia" w:ascii="仿宋" w:hAnsi="仿宋" w:eastAsia="仿宋" w:cs="仿宋"/>
          <w:b/>
          <w:sz w:val="28"/>
          <w:szCs w:val="28"/>
          <w:lang w:val="en-US" w:eastAsia="zh-CN"/>
        </w:rPr>
      </w:pPr>
      <w:bookmarkStart w:id="126" w:name="_Toc9003"/>
      <w:bookmarkStart w:id="127" w:name="_Toc19649"/>
      <w:bookmarkStart w:id="128" w:name="_Toc22853"/>
      <w:bookmarkStart w:id="129" w:name="_Toc81575207"/>
      <w:bookmarkStart w:id="130" w:name="_Toc81575170"/>
      <w:r>
        <w:rPr>
          <w:rFonts w:hint="eastAsia" w:ascii="仿宋" w:hAnsi="仿宋" w:eastAsia="仿宋" w:cs="仿宋"/>
          <w:b/>
          <w:sz w:val="28"/>
          <w:szCs w:val="28"/>
          <w:lang w:val="en-US" w:eastAsia="zh-CN"/>
        </w:rPr>
        <w:t>七、</w:t>
      </w:r>
      <w:r>
        <w:rPr>
          <w:rFonts w:hint="eastAsia" w:ascii="仿宋" w:hAnsi="仿宋" w:eastAsia="仿宋" w:cs="仿宋"/>
          <w:b/>
          <w:sz w:val="28"/>
          <w:szCs w:val="28"/>
          <w:rtl w:val="0"/>
          <w:lang w:val="en-US" w:eastAsia="zh-CN"/>
        </w:rPr>
        <w:t>特殊时期的应急保障方案</w:t>
      </w:r>
    </w:p>
    <w:p w14:paraId="1991EF3B">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zh-CN" w:eastAsia="zh-CN" w:bidi="zh-CN"/>
        </w:rPr>
      </w:pPr>
      <w:r>
        <w:rPr>
          <w:rFonts w:hint="eastAsia" w:ascii="仿宋" w:hAnsi="仿宋" w:eastAsia="仿宋" w:cs="仿宋"/>
          <w:b w:val="0"/>
          <w:bCs/>
          <w:sz w:val="24"/>
          <w:szCs w:val="24"/>
          <w:lang w:val="zh-CN" w:eastAsia="zh-CN" w:bidi="zh-CN"/>
        </w:rPr>
        <w:t>确定突发事件处理预案，包括：</w:t>
      </w:r>
      <w:r>
        <w:rPr>
          <w:rFonts w:hint="eastAsia" w:ascii="仿宋" w:hAnsi="仿宋" w:eastAsia="仿宋" w:cs="仿宋"/>
          <w:b w:val="0"/>
          <w:bCs/>
          <w:sz w:val="24"/>
          <w:szCs w:val="24"/>
          <w:rtl w:val="0"/>
          <w:lang w:val="en-US" w:eastAsia="zh-CN" w:bidi="zh-CN"/>
        </w:rPr>
        <w:t>消防（</w:t>
      </w:r>
      <w:r>
        <w:rPr>
          <w:rFonts w:hint="eastAsia" w:ascii="仿宋" w:hAnsi="仿宋" w:eastAsia="仿宋" w:cs="仿宋"/>
          <w:b w:val="0"/>
          <w:bCs/>
          <w:sz w:val="24"/>
          <w:szCs w:val="24"/>
          <w:rtl w:val="0"/>
          <w:lang w:val="zh-CN" w:eastAsia="zh-CN" w:bidi="zh-CN"/>
        </w:rPr>
        <w:t>火灾、爆炸、安全疏</w:t>
      </w:r>
      <w:r>
        <w:rPr>
          <w:rFonts w:hint="eastAsia" w:ascii="仿宋" w:hAnsi="仿宋" w:eastAsia="仿宋" w:cs="仿宋"/>
          <w:b w:val="0"/>
          <w:bCs/>
          <w:sz w:val="24"/>
          <w:szCs w:val="24"/>
          <w:rtl w:val="0"/>
          <w:lang w:val="en-US" w:eastAsia="zh-CN" w:bidi="zh-CN"/>
        </w:rPr>
        <w:t>导）、其他应急灯，以及卫生消毒、清洁环保、洪涝、雨雪、停电、停水等。</w:t>
      </w:r>
    </w:p>
    <w:p w14:paraId="28EE53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val="0"/>
        <w:jc w:val="both"/>
        <w:textAlignment w:val="auto"/>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1、消防：成立消防应急工作小组，全面负责领导、协调项目的消防安全工作；在项目范</w:t>
      </w:r>
      <w:r>
        <w:rPr>
          <w:rFonts w:hint="eastAsia" w:ascii="仿宋" w:hAnsi="仿宋" w:eastAsia="仿宋" w:cs="仿宋"/>
          <w:sz w:val="24"/>
          <w:szCs w:val="24"/>
          <w:highlight w:val="none"/>
          <w:lang w:val="en-US" w:eastAsia="zh-CN" w:bidi="zh-CN"/>
        </w:rPr>
        <w:t>围内无论何时、何地，员工一旦发现火情，都有责任立即向消防总控室报警；组织疏散；后期处理工作等</w:t>
      </w:r>
      <w:r>
        <w:rPr>
          <w:rFonts w:hint="eastAsia" w:ascii="仿宋" w:hAnsi="仿宋" w:eastAsia="仿宋" w:cs="仿宋"/>
          <w:sz w:val="24"/>
          <w:szCs w:val="24"/>
          <w:lang w:val="en-US" w:eastAsia="zh-CN" w:bidi="zh-CN"/>
        </w:rPr>
        <w:t>。</w:t>
      </w:r>
    </w:p>
    <w:p w14:paraId="105185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val="0"/>
        <w:jc w:val="both"/>
        <w:textAlignment w:val="auto"/>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2、</w:t>
      </w:r>
      <w:r>
        <w:rPr>
          <w:rFonts w:hint="eastAsia" w:ascii="仿宋" w:hAnsi="仿宋" w:eastAsia="仿宋" w:cs="仿宋"/>
          <w:sz w:val="24"/>
          <w:szCs w:val="24"/>
          <w:lang w:val="zh-CN" w:eastAsia="zh-CN" w:bidi="zh-CN"/>
        </w:rPr>
        <w:t>其他应急灯：配备自备应急照明灯</w:t>
      </w:r>
      <w:r>
        <w:rPr>
          <w:rFonts w:hint="eastAsia" w:ascii="仿宋" w:hAnsi="仿宋" w:eastAsia="仿宋" w:cs="仿宋"/>
          <w:sz w:val="24"/>
          <w:szCs w:val="24"/>
          <w:highlight w:val="none"/>
          <w:lang w:val="zh-CN" w:eastAsia="zh-CN" w:bidi="zh-CN"/>
        </w:rPr>
        <w:t>、必要的应急物资(处理内部电力故障需要的一些常用维修设备和材料)。平时定期对内部的电源及设施进行检査，</w:t>
      </w:r>
      <w:r>
        <w:rPr>
          <w:rFonts w:hint="eastAsia" w:ascii="仿宋" w:hAnsi="仿宋" w:eastAsia="仿宋" w:cs="仿宋"/>
          <w:sz w:val="24"/>
          <w:szCs w:val="24"/>
          <w:lang w:val="zh-CN" w:eastAsia="zh-CN" w:bidi="zh-CN"/>
        </w:rPr>
        <w:t>如自备应急灯、出口指示、人流导向指示灯(牌)等，有效提高突发停电事件应急能力。</w:t>
      </w:r>
    </w:p>
    <w:p w14:paraId="7D946C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val="0"/>
        <w:jc w:val="both"/>
        <w:textAlignment w:val="auto"/>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3、卫生消毒：成立卫生应急小组；出现消杀事故应急处置程序，应急小组组长或值班人员进行确认后，立即启动相应的事故应急预案；卫生消杀注意事项等。</w:t>
      </w:r>
    </w:p>
    <w:p w14:paraId="03BD59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val="0"/>
        <w:jc w:val="both"/>
        <w:textAlignment w:val="auto"/>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4、清洁环保：应急保洁清洗设备；应急物资储备等。</w:t>
      </w:r>
    </w:p>
    <w:p w14:paraId="58E107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val="0"/>
        <w:jc w:val="both"/>
        <w:textAlignment w:val="auto"/>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5、洪涝：洪涝灾害及其衍生灾害所引发的有毒、有害化学物品泄漏事件等，制定预案，预警级别，应急响应方案。</w:t>
      </w:r>
    </w:p>
    <w:p w14:paraId="16E0FC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val="0"/>
        <w:jc w:val="both"/>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lang w:val="en-US" w:eastAsia="zh-CN" w:bidi="zh-CN"/>
        </w:rPr>
        <w:t>6、雨雪：雨天预防预警机制，暴雨应急措施，雨雪天气，需要及时扫除积水、积雪；检查雨、污水井，提前清理，确保畅通无阻，防</w:t>
      </w:r>
      <w:r>
        <w:rPr>
          <w:rFonts w:hint="eastAsia" w:ascii="仿宋" w:hAnsi="仿宋" w:eastAsia="仿宋" w:cs="仿宋"/>
          <w:sz w:val="24"/>
          <w:szCs w:val="24"/>
          <w:highlight w:val="none"/>
          <w:lang w:val="en-US" w:eastAsia="zh-CN" w:bidi="zh-CN"/>
        </w:rPr>
        <w:t>止出现安全隐患。</w:t>
      </w:r>
    </w:p>
    <w:p w14:paraId="7DF365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val="0"/>
        <w:jc w:val="both"/>
        <w:textAlignment w:val="auto"/>
        <w:rPr>
          <w:rFonts w:hint="eastAsia" w:ascii="仿宋" w:hAnsi="仿宋" w:eastAsia="仿宋" w:cs="仿宋"/>
          <w:sz w:val="24"/>
          <w:szCs w:val="24"/>
          <w:lang w:val="en-US" w:eastAsia="zh-CN" w:bidi="zh-CN"/>
        </w:rPr>
      </w:pPr>
      <w:r>
        <w:rPr>
          <w:rFonts w:hint="eastAsia" w:ascii="仿宋" w:hAnsi="仿宋" w:eastAsia="仿宋" w:cs="仿宋"/>
          <w:sz w:val="24"/>
          <w:szCs w:val="24"/>
          <w:highlight w:val="none"/>
          <w:lang w:val="en-US" w:eastAsia="zh-CN" w:bidi="zh-CN"/>
        </w:rPr>
        <w:t>7、停电：保洁人员第一时间告知分管领导通报情况。查明原因后要立刻采取措施确定处理预案。严重事故停电无法立刻恢复要立刻按计划预案处理</w:t>
      </w:r>
      <w:r>
        <w:rPr>
          <w:rFonts w:hint="eastAsia" w:ascii="仿宋" w:hAnsi="仿宋" w:eastAsia="仿宋" w:cs="仿宋"/>
          <w:sz w:val="24"/>
          <w:szCs w:val="24"/>
          <w:lang w:val="en-US" w:eastAsia="zh-CN" w:bidi="zh-CN"/>
        </w:rPr>
        <w:t>进行备用线路转换投送。送电完毕要电话查询闪断故障原因，了解详细后在工作日志进行登记交接。</w:t>
      </w:r>
    </w:p>
    <w:p w14:paraId="14E384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val="0"/>
        <w:jc w:val="both"/>
        <w:textAlignment w:val="auto"/>
        <w:rPr>
          <w:rFonts w:hint="eastAsia" w:ascii="宋体" w:hAnsi="宋体" w:eastAsia="方正仿宋_GBK" w:cs="宋体"/>
          <w:b w:val="0"/>
          <w:bCs/>
          <w:caps w:val="0"/>
          <w:color w:val="auto"/>
          <w:sz w:val="24"/>
          <w:szCs w:val="21"/>
          <w:lang w:val="en-US" w:eastAsia="zh-CN" w:bidi="ar-SA"/>
        </w:rPr>
      </w:pPr>
      <w:r>
        <w:rPr>
          <w:rFonts w:hint="eastAsia" w:ascii="仿宋" w:hAnsi="仿宋" w:eastAsia="仿宋" w:cs="仿宋"/>
          <w:sz w:val="24"/>
          <w:szCs w:val="24"/>
          <w:lang w:val="en-US" w:eastAsia="zh-CN" w:bidi="zh-CN"/>
        </w:rPr>
        <w:t>8、停水：应急处理流程，收到通知后应立即组织工作人员及时上岗；必要时安排应急小组参与停水应急处置工作。</w:t>
      </w:r>
    </w:p>
    <w:p w14:paraId="18FD6A47">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八、内部考核与培训方案</w:t>
      </w:r>
    </w:p>
    <w:p w14:paraId="2C2BB7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建立行之有效的内部考核和培训制度，并执行到位。建立健全内部考核制度，有效激发项目组工作人员的工作积极性，结合保洁服务实际，对项目组人员服务态度、服务水平、服务成效等进行考核，形成科学严密的制度管理体系。同时建立全面的培训制度，定期开展员工培训，加强人员技能培养，每年至少开展培训两次，培训内容包括操作技能培训、日常管理培训、突发时间处理培训等，进一步加强项目组人员职业素养的提升。</w:t>
      </w:r>
    </w:p>
    <w:p w14:paraId="570739EF">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九、</w:t>
      </w:r>
      <w:r>
        <w:rPr>
          <w:rFonts w:hint="eastAsia" w:ascii="仿宋" w:hAnsi="仿宋" w:eastAsia="仿宋" w:cs="仿宋"/>
          <w:b/>
          <w:sz w:val="28"/>
          <w:szCs w:val="28"/>
          <w:rtl w:val="0"/>
          <w:lang w:val="en-US" w:eastAsia="zh-CN"/>
        </w:rPr>
        <w:t>服务保证要求</w:t>
      </w:r>
    </w:p>
    <w:p w14:paraId="0357302C">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宋体" w:hAnsi="宋体" w:eastAsia="方正仿宋_GBK" w:cs="宋体"/>
          <w:b w:val="0"/>
          <w:bCs/>
          <w:caps w:val="0"/>
          <w:color w:val="auto"/>
          <w:sz w:val="24"/>
          <w:szCs w:val="21"/>
          <w:lang w:val="zh-CN" w:eastAsia="zh-CN" w:bidi="ar-SA"/>
        </w:rPr>
      </w:pPr>
      <w:r>
        <w:rPr>
          <w:rFonts w:hint="eastAsia" w:ascii="仿宋" w:hAnsi="仿宋" w:eastAsia="仿宋" w:cs="仿宋"/>
          <w:b w:val="0"/>
          <w:bCs/>
          <w:sz w:val="24"/>
          <w:szCs w:val="24"/>
          <w:rtl w:val="0"/>
          <w:lang w:val="en-US" w:eastAsia="zh-CN" w:bidi="zh-CN"/>
        </w:rPr>
        <w:t>供应商组织机构及服务质量保证措施能做到机构健全，建立完整详细、措施可靠的工作台帐、工作信息收集、反馈等客户质量保证措施等内容。</w:t>
      </w:r>
    </w:p>
    <w:p w14:paraId="183F33BE">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十、</w:t>
      </w:r>
      <w:r>
        <w:rPr>
          <w:rFonts w:hint="eastAsia" w:ascii="仿宋" w:hAnsi="仿宋" w:eastAsia="仿宋" w:cs="仿宋"/>
          <w:b/>
          <w:sz w:val="28"/>
          <w:szCs w:val="28"/>
          <w:rtl w:val="0"/>
          <w:lang w:val="en-US" w:eastAsia="zh-CN"/>
        </w:rPr>
        <w:t>重大活动保障</w:t>
      </w:r>
    </w:p>
    <w:p w14:paraId="33BEFA09">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b w:val="0"/>
          <w:bCs/>
          <w:sz w:val="24"/>
          <w:szCs w:val="24"/>
          <w:lang w:val="zh-CN" w:eastAsia="zh-CN" w:bidi="zh-CN"/>
        </w:rPr>
      </w:pPr>
      <w:r>
        <w:rPr>
          <w:rFonts w:hint="eastAsia" w:ascii="仿宋" w:hAnsi="仿宋" w:eastAsia="仿宋" w:cs="仿宋"/>
          <w:b w:val="0"/>
          <w:bCs/>
          <w:sz w:val="24"/>
          <w:szCs w:val="24"/>
          <w:lang w:val="zh-CN" w:eastAsia="zh-CN" w:bidi="zh-CN"/>
        </w:rPr>
        <w:t>1.制订流程。配合采购人制订重大活动后勤保障工作流程，需对任务进行详细了解，并根据工作安排制定详细的后勤保障计划。</w:t>
      </w:r>
    </w:p>
    <w:p w14:paraId="10F78645">
      <w:pPr>
        <w:pStyle w:val="6"/>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b w:val="0"/>
          <w:bCs/>
          <w:sz w:val="24"/>
          <w:szCs w:val="24"/>
          <w:lang w:val="zh-CN" w:eastAsia="zh-CN" w:bidi="zh-CN"/>
        </w:rPr>
      </w:pPr>
      <w:r>
        <w:rPr>
          <w:rFonts w:hint="eastAsia" w:ascii="仿宋" w:hAnsi="仿宋" w:eastAsia="仿宋" w:cs="仿宋"/>
          <w:b w:val="0"/>
          <w:bCs/>
          <w:sz w:val="24"/>
          <w:szCs w:val="24"/>
          <w:lang w:val="en-US" w:eastAsia="zh-CN" w:bidi="zh-CN"/>
        </w:rPr>
        <w:t>2.</w:t>
      </w:r>
      <w:r>
        <w:rPr>
          <w:rFonts w:hint="eastAsia" w:ascii="仿宋" w:hAnsi="仿宋" w:eastAsia="仿宋" w:cs="仿宋"/>
          <w:b w:val="0"/>
          <w:bCs/>
          <w:sz w:val="24"/>
          <w:szCs w:val="24"/>
          <w:lang w:val="zh-CN" w:eastAsia="zh-CN" w:bidi="zh-CN"/>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6DBFFA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eastAsia="zh-CN" w:bidi="zh-CN"/>
        </w:rPr>
      </w:pPr>
      <w:r>
        <w:rPr>
          <w:rFonts w:hint="eastAsia" w:ascii="仿宋" w:hAnsi="仿宋" w:eastAsia="仿宋" w:cs="仿宋"/>
          <w:b w:val="0"/>
          <w:bCs/>
          <w:sz w:val="24"/>
          <w:szCs w:val="24"/>
          <w:lang w:val="en-US" w:eastAsia="zh-CN" w:bidi="zh-CN"/>
        </w:rPr>
        <w:t>3.</w:t>
      </w:r>
      <w:r>
        <w:rPr>
          <w:rFonts w:hint="eastAsia" w:ascii="仿宋" w:hAnsi="仿宋" w:eastAsia="仿宋" w:cs="仿宋"/>
          <w:b w:val="0"/>
          <w:bCs/>
          <w:sz w:val="24"/>
          <w:szCs w:val="24"/>
          <w:lang w:val="zh-CN" w:eastAsia="zh-CN" w:bidi="zh-CN"/>
        </w:rPr>
        <w:t>收尾工作。对现场进行检查，做好清理工作</w:t>
      </w:r>
      <w:r>
        <w:rPr>
          <w:rFonts w:hint="eastAsia" w:ascii="仿宋" w:hAnsi="仿宋" w:eastAsia="仿宋" w:cs="仿宋"/>
          <w:sz w:val="24"/>
          <w:szCs w:val="24"/>
          <w:lang w:val="zh-CN" w:eastAsia="zh-CN" w:bidi="zh-CN"/>
        </w:rPr>
        <w:t>。</w:t>
      </w:r>
    </w:p>
    <w:p w14:paraId="7EF333B9">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default" w:ascii="仿宋" w:hAnsi="仿宋" w:eastAsia="仿宋" w:cs="仿宋"/>
          <w:b/>
          <w:sz w:val="28"/>
          <w:szCs w:val="28"/>
          <w:rtl w:val="0"/>
          <w:lang w:val="en-US" w:eastAsia="zh-CN"/>
        </w:rPr>
      </w:pPr>
      <w:r>
        <w:rPr>
          <w:rFonts w:hint="eastAsia" w:ascii="仿宋" w:hAnsi="仿宋" w:eastAsia="仿宋" w:cs="仿宋"/>
          <w:b/>
          <w:sz w:val="28"/>
          <w:szCs w:val="28"/>
          <w:rtl w:val="0"/>
          <w:lang w:val="en-US" w:eastAsia="zh-CN"/>
        </w:rPr>
        <w:t>十一、验收要求及标准</w:t>
      </w:r>
    </w:p>
    <w:p w14:paraId="2FAA68D3">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1.验收主体：采购人。</w:t>
      </w:r>
    </w:p>
    <w:p w14:paraId="06987EC2">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2.验收时间：项目完成后，供应商提供项目相关资料之日起3个工作日内组织验收并签署验收单。</w:t>
      </w:r>
    </w:p>
    <w:p w14:paraId="1F301FB1">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3.验收标准：按照磋商文件要求、响应文件承诺以及履约期间考核打分表作为验收依据。</w:t>
      </w:r>
    </w:p>
    <w:p w14:paraId="123A3BED">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lang w:val="en-US" w:eastAsia="zh-CN"/>
        </w:rPr>
      </w:pPr>
      <w:r>
        <w:rPr>
          <w:rFonts w:hint="eastAsia" w:ascii="仿宋" w:hAnsi="仿宋" w:eastAsia="仿宋" w:cs="仿宋"/>
          <w:b w:val="0"/>
          <w:bCs/>
          <w:sz w:val="24"/>
          <w:szCs w:val="24"/>
          <w:lang w:val="en-US" w:eastAsia="zh-CN" w:bidi="zh-CN"/>
        </w:rPr>
        <w:t>4.验收程序、内容及履约：由验收小组按照磋商文件、响应文件及考核表对供应商履约情况进行验收。验收结束后，验收单由验收双方共同签署。履约验收的各项资料存档备查。</w:t>
      </w:r>
    </w:p>
    <w:p w14:paraId="4A8E950E">
      <w:pPr>
        <w:pStyle w:val="3"/>
        <w:keepNext/>
        <w:keepLines/>
        <w:pageBreakBefore w:val="0"/>
        <w:widowControl w:val="0"/>
        <w:numPr>
          <w:ilvl w:val="0"/>
          <w:numId w:val="0"/>
        </w:numPr>
        <w:kinsoku/>
        <w:wordWrap/>
        <w:overflowPunct/>
        <w:topLinePunct w:val="0"/>
        <w:autoSpaceDE/>
        <w:autoSpaceDN/>
        <w:bidi w:val="0"/>
        <w:adjustRightInd/>
        <w:snapToGrid/>
        <w:spacing w:before="361" w:beforeLines="100" w:after="361" w:afterLines="100" w:line="240" w:lineRule="auto"/>
        <w:textAlignment w:val="auto"/>
        <w:outlineLvl w:val="1"/>
        <w:rPr>
          <w:rFonts w:hint="default" w:ascii="仿宋" w:hAnsi="仿宋" w:eastAsia="仿宋" w:cs="仿宋"/>
          <w:b/>
          <w:sz w:val="28"/>
          <w:szCs w:val="28"/>
          <w:rtl w:val="0"/>
          <w:lang w:val="en-US" w:eastAsia="zh-CN"/>
        </w:rPr>
      </w:pPr>
      <w:r>
        <w:rPr>
          <w:rFonts w:hint="eastAsia" w:ascii="仿宋" w:hAnsi="仿宋" w:eastAsia="仿宋" w:cs="仿宋"/>
          <w:b/>
          <w:sz w:val="28"/>
          <w:szCs w:val="28"/>
          <w:rtl w:val="0"/>
          <w:lang w:val="en-US" w:eastAsia="zh-CN"/>
        </w:rPr>
        <w:t>十二、其他要求（此项需提供承诺函）</w:t>
      </w:r>
    </w:p>
    <w:p w14:paraId="7F6DDF5B">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1.成交人不得利用服务区域内的采购人房产、物业、水电等资源从事经营活动，不能改变其使用性质，采购人提供办公用房一间用于中标人日常管理使用。</w:t>
      </w:r>
    </w:p>
    <w:p w14:paraId="4F44211A">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2.如果发生因成交人工作失职造成消防事故、失窃事件或其他财产损失和人身伤害，均由中标单位承担相关经济和法律责任。</w:t>
      </w:r>
    </w:p>
    <w:p w14:paraId="783BF4CE">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3、成交单位所用的全体工作人员的岗位职责、操作规范、人身安全、医疗、工资、各项保险、工程机械、劳动工具、劳保用品、内部管理、各类纠纷等各项事宜及所涉及经费均由成交单位自行负责，采购人概不负责。</w:t>
      </w:r>
    </w:p>
    <w:p w14:paraId="638E8A2C">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4.成交单位必须遵守采购人的一切行政管理、消防安全等规定和制度，严禁物业公司员工私下接触被监管人员或为被监管人员捎带物品、信件、口信等违法行为，一经发现，严肃追究相关人员责任。采购人有权对成交单位员工的工作行为进行监督，如发现成交单位员工有违反采购人的规定和制度的行为，采购人将要求其改正，态度恶劣拒不改正的，采购人有权要求成交单位予以辞退，成交单位必须无条件接受。</w:t>
      </w:r>
    </w:p>
    <w:p w14:paraId="37AA2C6A">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5.成交单位人员的住宿、保险、治安等问题由中标人自行解决，与采购人无任何关系。</w:t>
      </w:r>
    </w:p>
    <w:p w14:paraId="5B6D5812">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6.遇突发事件或安全检查时，成交单位必须配合有关部门执行任务，并制定专职人员协助工作，直至完成。</w:t>
      </w:r>
    </w:p>
    <w:p w14:paraId="7942BBE0">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7.成交单位人员必须统一着装，挂牌上岗，服从采购人日常临时工作安排；建立完整的工作台账、工作信息收集、反馈等内容。</w:t>
      </w:r>
    </w:p>
    <w:p w14:paraId="38BF11F9">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8.如因工作失误而造成采购人经济损失或工作被动，由成交人负责赔偿经济损失。不可抗力的因素除外。</w:t>
      </w:r>
    </w:p>
    <w:p w14:paraId="55370FE2">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9.本保洁采购由成交人进行总承包，不得转包、分包，一旦发现转包或分包，采购人将报经相关部门处理，并要求终止合同。</w:t>
      </w:r>
    </w:p>
    <w:p w14:paraId="6977181D">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10.其他属于保洁服务范畴内的工作。</w:t>
      </w:r>
    </w:p>
    <w:p w14:paraId="1A749137">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11.本保洁服务项目，要强化绿色低碳管理目标和服务要求，促进绿色产品和服务的推广运用。</w:t>
      </w:r>
    </w:p>
    <w:p w14:paraId="71807181">
      <w:pPr>
        <w:pStyle w:val="431"/>
        <w:pageBreakBefore w:val="0"/>
        <w:widowControl/>
        <w:numPr>
          <w:ilvl w:val="0"/>
          <w:numId w:val="0"/>
        </w:numPr>
        <w:spacing w:line="500" w:lineRule="exact"/>
        <w:jc w:val="left"/>
        <w:rPr>
          <w:rFonts w:hint="eastAsia" w:ascii="仿宋" w:hAnsi="仿宋" w:eastAsia="仿宋" w:cs="仿宋"/>
          <w:b/>
          <w:sz w:val="28"/>
          <w:szCs w:val="28"/>
          <w:rtl w:val="0"/>
          <w:lang w:val="en-US" w:eastAsia="zh-CN" w:bidi="ar-SA"/>
        </w:rPr>
      </w:pPr>
      <w:r>
        <w:rPr>
          <w:rFonts w:hint="eastAsia" w:ascii="仿宋" w:hAnsi="仿宋" w:eastAsia="仿宋" w:cs="仿宋"/>
          <w:b/>
          <w:sz w:val="28"/>
          <w:szCs w:val="28"/>
          <w:rtl w:val="0"/>
          <w:lang w:val="en-US" w:eastAsia="zh-CN" w:bidi="ar-SA"/>
        </w:rPr>
        <w:t>十三、报价要求</w:t>
      </w:r>
    </w:p>
    <w:p w14:paraId="292408F3">
      <w:pPr>
        <w:pStyle w:val="431"/>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default" w:ascii="仿宋" w:hAnsi="仿宋" w:eastAsia="仿宋" w:cs="仿宋"/>
          <w:bCs/>
          <w:i/>
          <w:color w:val="FF0000"/>
          <w:szCs w:val="24"/>
          <w:u w:val="single"/>
          <w:lang w:val="en-US" w:bidi="zh-CN"/>
        </w:rPr>
      </w:pPr>
      <w:r>
        <w:rPr>
          <w:rFonts w:hint="eastAsia" w:ascii="仿宋" w:hAnsi="仿宋" w:eastAsia="仿宋" w:cs="仿宋"/>
          <w:color w:val="FF0000"/>
          <w:sz w:val="24"/>
          <w:szCs w:val="24"/>
          <w:lang w:val="en-US" w:eastAsia="zh-CN" w:bidi="ar-SA"/>
        </w:rPr>
        <w:t>★</w:t>
      </w:r>
      <w:r>
        <w:rPr>
          <w:rFonts w:hint="eastAsia" w:ascii="仿宋" w:hAnsi="仿宋" w:eastAsia="仿宋" w:cs="仿宋"/>
          <w:color w:val="FF0000"/>
          <w:sz w:val="24"/>
          <w:lang w:val="en-US" w:bidi="zh-CN"/>
        </w:rPr>
        <w:t>1、</w:t>
      </w:r>
      <w:r>
        <w:rPr>
          <w:rFonts w:hint="eastAsia" w:ascii="仿宋" w:hAnsi="仿宋" w:eastAsia="仿宋" w:cs="仿宋"/>
          <w:color w:val="FF0000"/>
          <w:sz w:val="24"/>
          <w:szCs w:val="22"/>
          <w:lang w:val="en-US" w:eastAsia="zh-CN" w:bidi="zh-CN"/>
        </w:rPr>
        <w:t>人员工资</w:t>
      </w:r>
      <w:r>
        <w:rPr>
          <w:rFonts w:hint="eastAsia" w:ascii="仿宋" w:hAnsi="仿宋" w:eastAsia="仿宋" w:cs="仿宋"/>
          <w:color w:val="FF0000"/>
          <w:sz w:val="24"/>
          <w:szCs w:val="24"/>
        </w:rPr>
        <w:t>不得低于宿迁市最新调整的职工最低工资标准</w:t>
      </w:r>
      <w:r>
        <w:rPr>
          <w:rFonts w:hint="eastAsia" w:ascii="仿宋" w:hAnsi="仿宋" w:eastAsia="仿宋" w:cs="仿宋"/>
          <w:color w:val="FF0000"/>
          <w:sz w:val="24"/>
          <w:szCs w:val="24"/>
          <w:lang w:eastAsia="zh-CN"/>
        </w:rPr>
        <w:t>（</w:t>
      </w:r>
      <w:r>
        <w:rPr>
          <w:rFonts w:hint="eastAsia" w:ascii="仿宋" w:hAnsi="仿宋" w:eastAsia="仿宋" w:cs="仿宋"/>
          <w:color w:val="FF0000"/>
          <w:sz w:val="24"/>
          <w:szCs w:val="24"/>
          <w:lang w:val="en-US" w:eastAsia="zh-CN"/>
        </w:rPr>
        <w:t>2180元/月</w:t>
      </w:r>
      <w:r>
        <w:rPr>
          <w:rFonts w:hint="eastAsia" w:ascii="仿宋" w:hAnsi="仿宋" w:eastAsia="仿宋" w:cs="仿宋"/>
          <w:color w:val="FF0000"/>
          <w:sz w:val="24"/>
          <w:szCs w:val="24"/>
          <w:lang w:eastAsia="zh-CN"/>
        </w:rPr>
        <w:t>）</w:t>
      </w:r>
      <w:r>
        <w:rPr>
          <w:rFonts w:hint="eastAsia" w:ascii="仿宋" w:hAnsi="仿宋" w:eastAsia="仿宋" w:cs="仿宋"/>
          <w:color w:val="FF0000"/>
          <w:sz w:val="24"/>
          <w:szCs w:val="22"/>
          <w:lang w:val="en-US" w:eastAsia="zh-CN" w:bidi="zh-CN"/>
        </w:rPr>
        <w:t>，否则按无效标处理。</w:t>
      </w:r>
      <w:r>
        <w:rPr>
          <w:rFonts w:hint="eastAsia" w:ascii="仿宋" w:hAnsi="仿宋" w:eastAsia="仿宋" w:cs="仿宋"/>
          <w:color w:val="FF0000"/>
          <w:sz w:val="24"/>
          <w:szCs w:val="22"/>
          <w:highlight w:val="none"/>
          <w:lang w:val="en-US" w:eastAsia="zh-CN" w:bidi="zh-CN"/>
        </w:rPr>
        <w:t>分项报价中的人员工资也不得低于2180元/月的最低工资标准，否则按无效标处理。</w:t>
      </w:r>
    </w:p>
    <w:p w14:paraId="6373BEE3">
      <w:pPr>
        <w:pStyle w:val="352"/>
        <w:keepNext w:val="0"/>
        <w:keepLines w:val="0"/>
        <w:pageBreakBefore w:val="0"/>
        <w:widowControl/>
        <w:numPr>
          <w:ilvl w:val="0"/>
          <w:numId w:val="5"/>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供应商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p>
    <w:p w14:paraId="04583987">
      <w:pPr>
        <w:pStyle w:val="431"/>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3.垃圾堆放在本项目指定的垃圾堆放区并清运，环卫部门垃圾运输相关费用包含在投标报价中。</w:t>
      </w:r>
    </w:p>
    <w:p w14:paraId="5D47EA47">
      <w:pPr>
        <w:pStyle w:val="431"/>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4.为保证服务队伍的整体素质和相对稳定性，供应商应充分考虑管理和服务人员的工资待遇。供应商要综合考虑宿迁劳动市场因素，激发员工积极性，不同岗位合理分配工资。</w:t>
      </w:r>
    </w:p>
    <w:p w14:paraId="06830B93">
      <w:pPr>
        <w:pStyle w:val="431"/>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5.项目履约过程中，项目所需工具、设备、物耗等均由成交供应商提供，响应文件中必须提供能满足服务要求所配置的工具、设备明细表，并在物耗明细表中列明，如在服务期内，中标人提供工具、设备等质量不符合采购人要求的，应按采购人要求无条件更换。</w:t>
      </w:r>
    </w:p>
    <w:p w14:paraId="5660ED9F">
      <w:pPr>
        <w:pStyle w:val="431"/>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6.其他物业管理服务质量要求按江苏省、宿迁市有关标准及采购需求执行，涉及费用均包含在本次投标报价中。</w:t>
      </w:r>
    </w:p>
    <w:p w14:paraId="50217295">
      <w:pPr>
        <w:pStyle w:val="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7．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p>
    <w:p w14:paraId="66CF7F28">
      <w:pPr>
        <w:rPr>
          <w:rFonts w:hint="eastAsia" w:ascii="仿宋" w:hAnsi="仿宋" w:eastAsia="仿宋" w:cs="仿宋"/>
          <w:b/>
          <w:sz w:val="44"/>
          <w:szCs w:val="44"/>
        </w:rPr>
      </w:pPr>
      <w:r>
        <w:rPr>
          <w:rFonts w:hint="eastAsia" w:ascii="仿宋" w:hAnsi="仿宋" w:eastAsia="仿宋" w:cs="仿宋"/>
          <w:b/>
          <w:sz w:val="44"/>
          <w:szCs w:val="44"/>
        </w:rPr>
        <w:br w:type="page"/>
      </w:r>
    </w:p>
    <w:p w14:paraId="34071B6C">
      <w:pPr>
        <w:pStyle w:val="2"/>
        <w:spacing w:before="200"/>
        <w:jc w:val="center"/>
        <w:rPr>
          <w:rFonts w:hint="eastAsia" w:ascii="仿宋" w:hAnsi="仿宋" w:eastAsia="仿宋" w:cs="仿宋"/>
          <w:b/>
          <w:sz w:val="44"/>
          <w:szCs w:val="44"/>
        </w:rPr>
      </w:pPr>
      <w:bookmarkStart w:id="131" w:name="_Toc30642"/>
      <w:r>
        <w:rPr>
          <w:rFonts w:hint="eastAsia" w:ascii="仿宋" w:hAnsi="仿宋" w:eastAsia="仿宋" w:cs="仿宋"/>
          <w:b/>
          <w:sz w:val="44"/>
          <w:szCs w:val="44"/>
        </w:rPr>
        <w:t>第五章  合同文本</w:t>
      </w:r>
      <w:bookmarkEnd w:id="131"/>
    </w:p>
    <w:p w14:paraId="16B43E9B">
      <w:pPr>
        <w:pStyle w:val="71"/>
        <w:rPr>
          <w:rFonts w:hint="eastAsia" w:ascii="仿宋" w:hAnsi="仿宋" w:eastAsia="仿宋" w:cs="仿宋"/>
          <w:bCs/>
          <w:color w:val="auto"/>
          <w:sz w:val="44"/>
          <w:szCs w:val="28"/>
          <w:highlight w:val="none"/>
        </w:rPr>
      </w:pPr>
    </w:p>
    <w:p w14:paraId="0BF616B4">
      <w:pPr>
        <w:pStyle w:val="189"/>
        <w:spacing w:line="480" w:lineRule="exact"/>
        <w:ind w:firstLine="643"/>
        <w:jc w:val="center"/>
        <w:rPr>
          <w:rFonts w:hint="eastAsia" w:ascii="仿宋" w:hAnsi="仿宋" w:eastAsia="仿宋" w:cs="仿宋"/>
          <w:b/>
          <w:sz w:val="36"/>
          <w:szCs w:val="36"/>
        </w:rPr>
      </w:pPr>
      <w:r>
        <w:rPr>
          <w:rFonts w:hint="eastAsia" w:ascii="仿宋" w:hAnsi="仿宋" w:eastAsia="仿宋" w:cs="仿宋"/>
          <w:b/>
          <w:sz w:val="36"/>
          <w:szCs w:val="36"/>
          <w:lang w:eastAsia="zh-CN"/>
        </w:rPr>
        <w:t>泗洪县政务服务中心办公楼保洁服务采购项目</w:t>
      </w:r>
    </w:p>
    <w:p w14:paraId="50E375DC">
      <w:pPr>
        <w:widowControl w:val="0"/>
        <w:spacing w:before="0" w:after="0" w:line="360" w:lineRule="auto"/>
        <w:jc w:val="center"/>
        <w:rPr>
          <w:rFonts w:hint="default" w:ascii="仿宋" w:hAnsi="仿宋" w:eastAsia="仿宋" w:cs="仿宋"/>
          <w:sz w:val="24"/>
          <w:szCs w:val="24"/>
          <w:lang w:val="en-US"/>
        </w:rPr>
      </w:pPr>
      <w:r>
        <w:rPr>
          <w:rFonts w:hint="eastAsia" w:ascii="仿宋" w:hAnsi="仿宋" w:eastAsia="仿宋" w:cs="仿宋"/>
          <w:b/>
          <w:bCs/>
          <w:sz w:val="24"/>
          <w:szCs w:val="24"/>
        </w:rPr>
        <w:t>项目编号：JSZC-321324-JZCG-G2026-0012</w:t>
      </w:r>
    </w:p>
    <w:p w14:paraId="5066FF80">
      <w:pPr>
        <w:pStyle w:val="189"/>
        <w:spacing w:line="480" w:lineRule="exact"/>
        <w:ind w:firstLine="643"/>
        <w:jc w:val="center"/>
        <w:rPr>
          <w:rFonts w:hint="eastAsia" w:ascii="仿宋" w:hAnsi="仿宋" w:eastAsia="仿宋" w:cs="仿宋"/>
          <w:b/>
          <w:sz w:val="32"/>
        </w:rPr>
      </w:pPr>
    </w:p>
    <w:p w14:paraId="19AC396B">
      <w:pPr>
        <w:pStyle w:val="189"/>
        <w:spacing w:line="480" w:lineRule="exact"/>
        <w:jc w:val="both"/>
        <w:rPr>
          <w:rFonts w:hint="eastAsia" w:ascii="仿宋" w:hAnsi="仿宋" w:eastAsia="仿宋" w:cs="仿宋"/>
          <w:b/>
          <w:sz w:val="32"/>
        </w:rPr>
      </w:pPr>
    </w:p>
    <w:p w14:paraId="7351B7E9">
      <w:pPr>
        <w:pStyle w:val="189"/>
        <w:spacing w:line="480" w:lineRule="exact"/>
        <w:ind w:firstLine="643"/>
        <w:jc w:val="center"/>
        <w:rPr>
          <w:rFonts w:hint="eastAsia" w:ascii="仿宋" w:hAnsi="仿宋" w:eastAsia="仿宋" w:cs="仿宋"/>
          <w:b/>
          <w:sz w:val="32"/>
        </w:rPr>
      </w:pPr>
    </w:p>
    <w:p w14:paraId="62319515">
      <w:pPr>
        <w:pStyle w:val="189"/>
        <w:spacing w:line="480" w:lineRule="exact"/>
        <w:ind w:firstLine="643"/>
        <w:jc w:val="center"/>
        <w:rPr>
          <w:rFonts w:hint="eastAsia" w:ascii="仿宋" w:hAnsi="仿宋" w:eastAsia="仿宋" w:cs="仿宋"/>
          <w:b/>
          <w:sz w:val="32"/>
        </w:rPr>
      </w:pPr>
    </w:p>
    <w:p w14:paraId="785C9000">
      <w:pPr>
        <w:pStyle w:val="189"/>
        <w:spacing w:line="480" w:lineRule="exact"/>
        <w:ind w:firstLine="643"/>
        <w:jc w:val="center"/>
        <w:rPr>
          <w:rFonts w:hint="eastAsia" w:ascii="仿宋" w:hAnsi="仿宋" w:eastAsia="仿宋" w:cs="仿宋"/>
          <w:b/>
          <w:sz w:val="32"/>
        </w:rPr>
      </w:pPr>
    </w:p>
    <w:p w14:paraId="5E2C22E6">
      <w:pPr>
        <w:pStyle w:val="189"/>
        <w:spacing w:line="480" w:lineRule="exact"/>
        <w:ind w:firstLine="643"/>
        <w:jc w:val="center"/>
        <w:rPr>
          <w:rFonts w:hint="eastAsia" w:ascii="仿宋" w:hAnsi="仿宋" w:eastAsia="仿宋" w:cs="仿宋"/>
          <w:b/>
          <w:sz w:val="32"/>
        </w:rPr>
      </w:pPr>
    </w:p>
    <w:p w14:paraId="51939ADC">
      <w:pPr>
        <w:widowControl w:val="0"/>
        <w:spacing w:before="0" w:after="0" w:line="480" w:lineRule="auto"/>
        <w:jc w:val="center"/>
        <w:rPr>
          <w:rFonts w:hint="eastAsia" w:ascii="仿宋" w:hAnsi="仿宋" w:eastAsia="仿宋" w:cs="仿宋"/>
          <w:sz w:val="72"/>
          <w:szCs w:val="72"/>
        </w:rPr>
      </w:pPr>
      <w:r>
        <w:rPr>
          <w:rFonts w:hint="eastAsia" w:ascii="仿宋" w:hAnsi="仿宋" w:eastAsia="仿宋" w:cs="仿宋"/>
          <w:b/>
          <w:bCs/>
          <w:sz w:val="72"/>
          <w:szCs w:val="72"/>
        </w:rPr>
        <w:t>政 府 采 购 合 同</w:t>
      </w:r>
    </w:p>
    <w:p w14:paraId="0A5E6E4A">
      <w:pPr>
        <w:pStyle w:val="189"/>
        <w:spacing w:line="480" w:lineRule="exact"/>
        <w:ind w:firstLine="1044"/>
        <w:jc w:val="center"/>
        <w:rPr>
          <w:rFonts w:hint="eastAsia" w:ascii="仿宋" w:hAnsi="仿宋" w:eastAsia="仿宋" w:cs="仿宋"/>
          <w:b/>
          <w:sz w:val="52"/>
          <w:szCs w:val="52"/>
        </w:rPr>
      </w:pPr>
    </w:p>
    <w:p w14:paraId="0C44A1B0">
      <w:pPr>
        <w:pStyle w:val="189"/>
        <w:spacing w:line="480" w:lineRule="exact"/>
        <w:ind w:firstLine="1044"/>
        <w:jc w:val="center"/>
        <w:rPr>
          <w:rFonts w:hint="eastAsia" w:ascii="仿宋" w:hAnsi="仿宋" w:eastAsia="仿宋" w:cs="仿宋"/>
          <w:b/>
          <w:sz w:val="52"/>
          <w:szCs w:val="52"/>
        </w:rPr>
      </w:pPr>
    </w:p>
    <w:p w14:paraId="2382C514">
      <w:pPr>
        <w:pStyle w:val="189"/>
        <w:spacing w:line="480" w:lineRule="exact"/>
        <w:ind w:firstLine="1044"/>
        <w:jc w:val="center"/>
        <w:rPr>
          <w:rFonts w:hint="eastAsia" w:ascii="仿宋" w:hAnsi="仿宋" w:eastAsia="仿宋" w:cs="仿宋"/>
          <w:b/>
          <w:sz w:val="52"/>
          <w:szCs w:val="52"/>
        </w:rPr>
      </w:pPr>
    </w:p>
    <w:p w14:paraId="4A226A29">
      <w:pPr>
        <w:pStyle w:val="189"/>
        <w:spacing w:line="480" w:lineRule="exact"/>
        <w:ind w:firstLine="1044"/>
        <w:jc w:val="center"/>
        <w:rPr>
          <w:rFonts w:hint="eastAsia" w:ascii="仿宋" w:hAnsi="仿宋" w:eastAsia="仿宋" w:cs="仿宋"/>
          <w:b/>
          <w:sz w:val="52"/>
          <w:szCs w:val="52"/>
        </w:rPr>
      </w:pPr>
    </w:p>
    <w:p w14:paraId="4AAC1BAA">
      <w:pPr>
        <w:pStyle w:val="189"/>
        <w:spacing w:line="480" w:lineRule="exact"/>
        <w:ind w:firstLine="1044"/>
        <w:jc w:val="center"/>
        <w:rPr>
          <w:rFonts w:hint="eastAsia" w:ascii="仿宋" w:hAnsi="仿宋" w:eastAsia="仿宋" w:cs="仿宋"/>
          <w:b/>
          <w:sz w:val="52"/>
          <w:szCs w:val="52"/>
        </w:rPr>
      </w:pPr>
    </w:p>
    <w:p w14:paraId="3DB44493">
      <w:pPr>
        <w:pStyle w:val="189"/>
        <w:spacing w:line="480" w:lineRule="exact"/>
        <w:ind w:firstLine="1044"/>
        <w:jc w:val="center"/>
        <w:rPr>
          <w:rFonts w:hint="eastAsia" w:ascii="仿宋" w:hAnsi="仿宋" w:eastAsia="仿宋" w:cs="仿宋"/>
          <w:b/>
          <w:sz w:val="52"/>
          <w:szCs w:val="52"/>
        </w:rPr>
      </w:pPr>
      <w:r>
        <w:rPr>
          <w:rFonts w:hint="eastAsia" w:ascii="仿宋" w:hAnsi="仿宋" w:eastAsia="仿宋" w:cs="仿宋"/>
          <w:b/>
          <w:sz w:val="52"/>
          <w:szCs w:val="52"/>
        </w:rPr>
        <w:br w:type="textWrapping"/>
      </w:r>
    </w:p>
    <w:p w14:paraId="210132B4">
      <w:pPr>
        <w:pStyle w:val="189"/>
        <w:spacing w:line="480" w:lineRule="exact"/>
        <w:ind w:firstLine="643"/>
        <w:jc w:val="center"/>
        <w:rPr>
          <w:rFonts w:hint="eastAsia" w:ascii="仿宋" w:hAnsi="仿宋" w:eastAsia="仿宋" w:cs="仿宋"/>
          <w:b/>
          <w:sz w:val="32"/>
        </w:rPr>
      </w:pPr>
    </w:p>
    <w:p w14:paraId="498A3A9D">
      <w:pPr>
        <w:pStyle w:val="189"/>
        <w:spacing w:line="480" w:lineRule="exact"/>
        <w:ind w:firstLine="1054"/>
        <w:rPr>
          <w:rFonts w:hint="eastAsia" w:ascii="仿宋" w:hAnsi="仿宋" w:eastAsia="仿宋" w:cs="仿宋"/>
          <w:b/>
          <w:bCs/>
          <w:sz w:val="30"/>
          <w:szCs w:val="30"/>
        </w:rPr>
      </w:pPr>
      <w:r>
        <w:rPr>
          <w:rFonts w:hint="eastAsia" w:ascii="仿宋" w:hAnsi="仿宋" w:eastAsia="仿宋" w:cs="仿宋"/>
          <w:b/>
          <w:bCs/>
          <w:sz w:val="30"/>
          <w:szCs w:val="30"/>
        </w:rPr>
        <w:t>采购单位（全  称）：</w:t>
      </w:r>
      <w:r>
        <w:rPr>
          <w:rFonts w:hint="eastAsia" w:ascii="仿宋" w:hAnsi="仿宋" w:eastAsia="仿宋" w:cs="仿宋"/>
          <w:b/>
          <w:bCs/>
          <w:sz w:val="30"/>
          <w:szCs w:val="30"/>
          <w:lang w:eastAsia="zh-CN"/>
        </w:rPr>
        <w:t>泗洪县机关事务管理中心</w:t>
      </w:r>
    </w:p>
    <w:p w14:paraId="497E52CE">
      <w:pPr>
        <w:pStyle w:val="189"/>
        <w:spacing w:line="480" w:lineRule="exact"/>
        <w:ind w:firstLine="1054"/>
        <w:rPr>
          <w:rFonts w:hint="eastAsia" w:ascii="仿宋" w:hAnsi="仿宋" w:eastAsia="仿宋" w:cs="仿宋"/>
          <w:b/>
          <w:bCs/>
          <w:sz w:val="24"/>
        </w:rPr>
      </w:pPr>
      <w:r>
        <w:rPr>
          <w:rFonts w:hint="eastAsia" w:ascii="仿宋" w:hAnsi="仿宋" w:eastAsia="仿宋" w:cs="仿宋"/>
          <w:b/>
          <w:bCs/>
          <w:sz w:val="30"/>
          <w:szCs w:val="30"/>
        </w:rPr>
        <w:t>中标供应商（全称）：</w:t>
      </w:r>
      <w:r>
        <w:rPr>
          <w:rFonts w:hint="eastAsia" w:ascii="仿宋" w:hAnsi="仿宋" w:eastAsia="仿宋" w:cs="仿宋"/>
          <w:b/>
          <w:bCs/>
          <w:sz w:val="30"/>
          <w:szCs w:val="30"/>
          <w:lang w:val="en-US" w:eastAsia="zh-CN"/>
        </w:rPr>
        <w:t xml:space="preserve"> </w:t>
      </w:r>
      <w:r>
        <w:rPr>
          <w:rFonts w:hint="eastAsia" w:ascii="仿宋" w:hAnsi="仿宋" w:eastAsia="仿宋" w:cs="仿宋"/>
          <w:b/>
          <w:bCs/>
          <w:sz w:val="24"/>
          <w:lang w:val="en-US" w:eastAsia="zh-CN"/>
        </w:rPr>
        <w:t xml:space="preserve">           </w:t>
      </w:r>
    </w:p>
    <w:p w14:paraId="39677838">
      <w:pPr>
        <w:pStyle w:val="189"/>
        <w:spacing w:line="480" w:lineRule="exact"/>
        <w:ind w:firstLine="1446"/>
        <w:rPr>
          <w:rFonts w:hint="eastAsia" w:ascii="仿宋" w:hAnsi="仿宋" w:eastAsia="仿宋" w:cs="仿宋"/>
          <w:b/>
          <w:bCs/>
          <w:sz w:val="24"/>
        </w:rPr>
      </w:pPr>
    </w:p>
    <w:p w14:paraId="293E3709">
      <w:pPr>
        <w:widowControl w:val="0"/>
        <w:spacing w:before="0" w:after="0" w:line="480" w:lineRule="atLeast"/>
        <w:jc w:val="center"/>
        <w:rPr>
          <w:rFonts w:hint="eastAsia" w:ascii="仿宋" w:hAnsi="仿宋" w:eastAsia="仿宋" w:cs="仿宋"/>
        </w:rPr>
      </w:pPr>
      <w:r>
        <w:rPr>
          <w:rFonts w:hint="eastAsia" w:ascii="仿宋" w:hAnsi="仿宋" w:eastAsia="仿宋" w:cs="仿宋"/>
          <w:b/>
          <w:bCs/>
          <w:sz w:val="36"/>
          <w:szCs w:val="36"/>
        </w:rPr>
        <w:t>二〇二</w:t>
      </w:r>
      <w:r>
        <w:rPr>
          <w:rFonts w:hint="eastAsia" w:ascii="仿宋" w:hAnsi="仿宋" w:eastAsia="仿宋" w:cs="仿宋"/>
          <w:b/>
          <w:bCs/>
          <w:sz w:val="36"/>
          <w:szCs w:val="36"/>
          <w:lang w:val="en-US" w:eastAsia="zh-CN"/>
        </w:rPr>
        <w:t>六</w:t>
      </w:r>
      <w:r>
        <w:rPr>
          <w:rFonts w:hint="eastAsia" w:ascii="仿宋" w:hAnsi="仿宋" w:eastAsia="仿宋" w:cs="仿宋"/>
          <w:b/>
          <w:bCs/>
          <w:sz w:val="36"/>
          <w:szCs w:val="36"/>
        </w:rPr>
        <w:t>年</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月</w:t>
      </w:r>
    </w:p>
    <w:p w14:paraId="192AE3DD">
      <w:pPr>
        <w:rPr>
          <w:rFonts w:hint="eastAsia" w:ascii="仿宋" w:hAnsi="仿宋" w:eastAsia="仿宋" w:cs="仿宋"/>
          <w:sz w:val="24"/>
        </w:rPr>
      </w:pPr>
    </w:p>
    <w:p w14:paraId="5D702992">
      <w:pPr>
        <w:pStyle w:val="189"/>
        <w:spacing w:line="480" w:lineRule="exact"/>
        <w:ind w:firstLine="643"/>
        <w:jc w:val="center"/>
        <w:rPr>
          <w:rFonts w:hint="eastAsia" w:ascii="仿宋" w:hAnsi="仿宋" w:eastAsia="仿宋" w:cs="仿宋"/>
          <w:b/>
          <w:sz w:val="32"/>
        </w:rPr>
      </w:pPr>
      <w:r>
        <w:rPr>
          <w:rFonts w:hint="eastAsia" w:ascii="仿宋" w:hAnsi="仿宋" w:eastAsia="仿宋" w:cs="仿宋"/>
          <w:b/>
          <w:sz w:val="32"/>
        </w:rPr>
        <w:t xml:space="preserve"> </w:t>
      </w:r>
    </w:p>
    <w:p w14:paraId="6D6371E3">
      <w:pPr>
        <w:pStyle w:val="189"/>
        <w:spacing w:line="480" w:lineRule="exact"/>
        <w:ind w:firstLine="643"/>
        <w:jc w:val="center"/>
        <w:rPr>
          <w:rFonts w:hint="eastAsia" w:ascii="仿宋" w:hAnsi="仿宋" w:eastAsia="仿宋" w:cs="仿宋"/>
          <w:b/>
          <w:sz w:val="32"/>
        </w:rPr>
      </w:pPr>
    </w:p>
    <w:p w14:paraId="2F28F834">
      <w:pPr>
        <w:pStyle w:val="189"/>
        <w:spacing w:line="480" w:lineRule="exact"/>
        <w:ind w:firstLine="643"/>
        <w:jc w:val="center"/>
        <w:rPr>
          <w:rFonts w:hint="eastAsia" w:ascii="仿宋" w:hAnsi="仿宋" w:eastAsia="仿宋" w:cs="仿宋"/>
          <w:b/>
          <w:sz w:val="32"/>
          <w:lang w:eastAsia="zh-CN"/>
        </w:rPr>
      </w:pPr>
      <w:r>
        <w:rPr>
          <w:rFonts w:hint="eastAsia" w:ascii="仿宋" w:hAnsi="仿宋" w:eastAsia="仿宋" w:cs="仿宋"/>
          <w:b/>
          <w:sz w:val="32"/>
          <w:lang w:eastAsia="zh-CN"/>
        </w:rPr>
        <w:t>泗洪县政务服务中心办公楼保洁服务采购项目</w:t>
      </w:r>
    </w:p>
    <w:p w14:paraId="3F423E7D">
      <w:pPr>
        <w:pStyle w:val="189"/>
        <w:spacing w:line="480" w:lineRule="exact"/>
        <w:ind w:firstLine="643"/>
        <w:jc w:val="center"/>
        <w:rPr>
          <w:rFonts w:hint="eastAsia" w:ascii="仿宋" w:hAnsi="仿宋" w:eastAsia="仿宋" w:cs="仿宋"/>
          <w:b/>
          <w:sz w:val="32"/>
        </w:rPr>
      </w:pPr>
      <w:r>
        <w:rPr>
          <w:rFonts w:hint="eastAsia" w:ascii="仿宋" w:hAnsi="仿宋" w:eastAsia="仿宋" w:cs="仿宋"/>
          <w:b/>
          <w:sz w:val="32"/>
          <w:lang w:eastAsia="zh-CN"/>
        </w:rPr>
        <w:t>政府采购合同</w:t>
      </w:r>
      <w:r>
        <w:rPr>
          <w:rFonts w:hint="eastAsia" w:ascii="仿宋" w:hAnsi="仿宋" w:eastAsia="仿宋" w:cs="仿宋"/>
          <w:b/>
          <w:sz w:val="32"/>
        </w:rPr>
        <w:t>专用条款</w:t>
      </w:r>
    </w:p>
    <w:p w14:paraId="0DB1FA85">
      <w:pPr>
        <w:pStyle w:val="189"/>
        <w:spacing w:line="480" w:lineRule="exact"/>
        <w:ind w:firstLine="643"/>
        <w:jc w:val="center"/>
        <w:rPr>
          <w:rFonts w:hint="eastAsia" w:ascii="仿宋" w:hAnsi="仿宋" w:eastAsia="仿宋" w:cs="仿宋"/>
          <w:b/>
          <w:sz w:val="32"/>
        </w:rPr>
      </w:pPr>
    </w:p>
    <w:p w14:paraId="72CB30DB">
      <w:pPr>
        <w:pStyle w:val="189"/>
        <w:spacing w:line="480" w:lineRule="exact"/>
        <w:ind w:firstLine="480"/>
        <w:rPr>
          <w:rFonts w:hint="eastAsia" w:ascii="仿宋" w:hAnsi="仿宋" w:eastAsia="仿宋" w:cs="仿宋"/>
          <w:sz w:val="24"/>
        </w:rPr>
      </w:pPr>
      <w:r>
        <w:rPr>
          <w:rFonts w:hint="eastAsia" w:ascii="仿宋" w:hAnsi="仿宋" w:eastAsia="仿宋" w:cs="仿宋"/>
          <w:sz w:val="24"/>
        </w:rPr>
        <w:t>采购单位（全称）：</w:t>
      </w:r>
      <w:r>
        <w:rPr>
          <w:rFonts w:hint="eastAsia" w:ascii="仿宋" w:hAnsi="仿宋" w:eastAsia="仿宋" w:cs="仿宋"/>
          <w:sz w:val="24"/>
          <w:u w:val="single"/>
          <w:lang w:eastAsia="zh-CN"/>
        </w:rPr>
        <w:t>泗洪县机关事务管理中心</w:t>
      </w:r>
      <w:r>
        <w:rPr>
          <w:rFonts w:hint="eastAsia" w:ascii="仿宋" w:hAnsi="仿宋" w:eastAsia="仿宋" w:cs="仿宋"/>
          <w:sz w:val="24"/>
        </w:rPr>
        <w:t>（简称甲方）</w:t>
      </w:r>
    </w:p>
    <w:p w14:paraId="69C26488">
      <w:pPr>
        <w:pStyle w:val="189"/>
        <w:spacing w:line="480" w:lineRule="exact"/>
        <w:ind w:firstLine="480"/>
        <w:rPr>
          <w:rFonts w:hint="eastAsia" w:ascii="仿宋" w:hAnsi="仿宋" w:eastAsia="仿宋" w:cs="仿宋"/>
          <w:sz w:val="24"/>
        </w:rPr>
      </w:pPr>
      <w:r>
        <w:rPr>
          <w:rFonts w:hint="eastAsia" w:ascii="仿宋" w:hAnsi="仿宋" w:eastAsia="仿宋" w:cs="仿宋"/>
          <w:sz w:val="24"/>
        </w:rPr>
        <w:t>中标供应商（全称）：</w:t>
      </w:r>
      <w:r>
        <w:rPr>
          <w:rFonts w:hint="eastAsia" w:ascii="仿宋" w:hAnsi="仿宋" w:eastAsia="仿宋" w:cs="仿宋"/>
          <w:sz w:val="24"/>
          <w:u w:val="single"/>
          <w:lang w:val="en-US" w:eastAsia="zh-CN"/>
        </w:rPr>
        <w:t xml:space="preserve">                    </w:t>
      </w:r>
      <w:r>
        <w:rPr>
          <w:rFonts w:hint="eastAsia" w:ascii="仿宋" w:hAnsi="仿宋" w:eastAsia="仿宋" w:cs="仿宋"/>
          <w:sz w:val="24"/>
        </w:rPr>
        <w:t>（简称乙方）</w:t>
      </w:r>
    </w:p>
    <w:p w14:paraId="73732FED">
      <w:pPr>
        <w:pStyle w:val="328"/>
        <w:spacing w:line="480" w:lineRule="exact"/>
        <w:ind w:left="0" w:firstLine="480"/>
        <w:rPr>
          <w:rFonts w:hint="eastAsia" w:ascii="仿宋" w:hAnsi="仿宋" w:eastAsia="仿宋" w:cs="仿宋"/>
          <w:sz w:val="24"/>
        </w:rPr>
      </w:pPr>
      <w:r>
        <w:rPr>
          <w:rFonts w:hint="eastAsia" w:ascii="仿宋" w:hAnsi="仿宋" w:eastAsia="仿宋" w:cs="仿宋"/>
          <w:sz w:val="24"/>
        </w:rPr>
        <w:t>依照《中华人民共和国政府采购法》、《中华人民共和国民</w:t>
      </w:r>
      <w:r>
        <w:rPr>
          <w:rFonts w:hint="eastAsia" w:ascii="仿宋" w:hAnsi="仿宋" w:eastAsia="仿宋" w:cs="仿宋"/>
          <w:sz w:val="24"/>
          <w:lang w:val="en-US" w:eastAsia="zh-CN"/>
        </w:rPr>
        <w:t>法典</w:t>
      </w:r>
      <w:r>
        <w:rPr>
          <w:rFonts w:hint="eastAsia" w:ascii="仿宋" w:hAnsi="仿宋" w:eastAsia="仿宋" w:cs="仿宋"/>
          <w:sz w:val="24"/>
        </w:rPr>
        <w:t>》及其他有关法律、行政法规，遵循平等、自愿、公平和诚实信用的原则，双方就</w:t>
      </w:r>
      <w:r>
        <w:rPr>
          <w:rFonts w:hint="eastAsia" w:ascii="仿宋" w:hAnsi="仿宋" w:eastAsia="仿宋" w:cs="仿宋"/>
          <w:sz w:val="24"/>
          <w:u w:val="single"/>
          <w:lang w:eastAsia="zh-CN"/>
        </w:rPr>
        <w:t>泗洪县政务服务中心办公楼保洁服务采购项目</w:t>
      </w:r>
      <w:r>
        <w:rPr>
          <w:rFonts w:hint="eastAsia" w:ascii="仿宋" w:hAnsi="仿宋" w:eastAsia="仿宋" w:cs="仿宋"/>
          <w:sz w:val="24"/>
        </w:rPr>
        <w:t>相关事项协商一致，达成如下合同条款：</w:t>
      </w:r>
    </w:p>
    <w:p w14:paraId="7B3DAB7F">
      <w:pPr>
        <w:pStyle w:val="189"/>
        <w:spacing w:before="160" w:line="480" w:lineRule="exact"/>
        <w:ind w:firstLine="475"/>
        <w:rPr>
          <w:rFonts w:hint="eastAsia" w:ascii="仿宋" w:hAnsi="仿宋" w:eastAsia="仿宋" w:cs="仿宋"/>
          <w:b/>
          <w:color w:val="000000"/>
          <w:sz w:val="24"/>
        </w:rPr>
      </w:pPr>
      <w:r>
        <w:rPr>
          <w:rFonts w:hint="eastAsia" w:ascii="仿宋" w:hAnsi="仿宋" w:eastAsia="仿宋" w:cs="仿宋"/>
          <w:b/>
          <w:sz w:val="24"/>
        </w:rPr>
        <w:t>一、乙方向甲方提供总价值为</w:t>
      </w:r>
      <w:r>
        <w:rPr>
          <w:rFonts w:hint="eastAsia" w:ascii="仿宋" w:hAnsi="仿宋" w:eastAsia="仿宋" w:cs="仿宋"/>
          <w:b/>
          <w:sz w:val="24"/>
          <w:u w:val="single"/>
          <w:lang w:val="en-US" w:eastAsia="zh-CN"/>
        </w:rPr>
        <w:t xml:space="preserve">         </w:t>
      </w:r>
      <w:r>
        <w:rPr>
          <w:rFonts w:hint="eastAsia" w:ascii="仿宋" w:hAnsi="仿宋" w:eastAsia="仿宋" w:cs="仿宋"/>
          <w:b/>
          <w:sz w:val="24"/>
        </w:rPr>
        <w:t>元/年</w:t>
      </w:r>
      <w:r>
        <w:rPr>
          <w:rFonts w:hint="eastAsia" w:ascii="仿宋" w:hAnsi="仿宋" w:eastAsia="仿宋" w:cs="仿宋"/>
          <w:b/>
          <w:color w:val="000000"/>
          <w:sz w:val="24"/>
        </w:rPr>
        <w:t>的标的（服务）。</w:t>
      </w:r>
    </w:p>
    <w:tbl>
      <w:tblPr>
        <w:tblStyle w:val="40"/>
        <w:tblpPr w:leftFromText="180" w:rightFromText="180" w:vertAnchor="text" w:horzAnchor="page" w:tblpXSpec="center" w:tblpY="456"/>
        <w:tblW w:w="79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865"/>
        <w:gridCol w:w="1005"/>
        <w:gridCol w:w="945"/>
        <w:gridCol w:w="1291"/>
        <w:gridCol w:w="1889"/>
      </w:tblGrid>
      <w:tr w14:paraId="4DE316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5" w:hRule="atLeast"/>
          <w:jc w:val="center"/>
        </w:trPr>
        <w:tc>
          <w:tcPr>
            <w:tcW w:w="2865" w:type="dxa"/>
            <w:tcBorders>
              <w:top w:val="single" w:color="auto" w:sz="4" w:space="0"/>
              <w:left w:val="single" w:color="auto" w:sz="4" w:space="0"/>
              <w:bottom w:val="single" w:color="auto" w:sz="4" w:space="0"/>
              <w:right w:val="single" w:color="auto" w:sz="4" w:space="0"/>
            </w:tcBorders>
            <w:noWrap w:val="0"/>
            <w:vAlign w:val="center"/>
          </w:tcPr>
          <w:p w14:paraId="6E3E33F6">
            <w:pPr>
              <w:pStyle w:val="189"/>
              <w:spacing w:line="480" w:lineRule="exact"/>
              <w:jc w:val="center"/>
              <w:rPr>
                <w:rFonts w:hint="default" w:ascii="仿宋" w:hAnsi="仿宋" w:eastAsia="仿宋" w:cs="仿宋"/>
                <w:sz w:val="21"/>
                <w:lang w:val="en-US" w:eastAsia="zh-CN"/>
              </w:rPr>
            </w:pPr>
            <w:r>
              <w:rPr>
                <w:rFonts w:hint="eastAsia" w:ascii="仿宋" w:hAnsi="仿宋" w:eastAsia="仿宋" w:cs="仿宋"/>
                <w:sz w:val="21"/>
                <w:lang w:val="en-US" w:eastAsia="zh-CN"/>
              </w:rPr>
              <w:t>服务内容</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8D01CCB">
            <w:pPr>
              <w:pStyle w:val="189"/>
              <w:spacing w:line="480" w:lineRule="exact"/>
              <w:jc w:val="center"/>
              <w:rPr>
                <w:rFonts w:hint="eastAsia" w:ascii="仿宋" w:hAnsi="仿宋" w:eastAsia="仿宋" w:cs="仿宋"/>
                <w:sz w:val="21"/>
              </w:rPr>
            </w:pPr>
            <w:r>
              <w:rPr>
                <w:rFonts w:hint="eastAsia" w:ascii="仿宋" w:hAnsi="仿宋" w:eastAsia="仿宋" w:cs="仿宋"/>
                <w:sz w:val="21"/>
              </w:rPr>
              <w:t>单位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633E12D">
            <w:pPr>
              <w:pStyle w:val="189"/>
              <w:spacing w:line="480" w:lineRule="exact"/>
              <w:jc w:val="center"/>
              <w:rPr>
                <w:rFonts w:hint="eastAsia" w:ascii="仿宋" w:hAnsi="仿宋" w:eastAsia="仿宋" w:cs="仿宋"/>
                <w:sz w:val="21"/>
              </w:rPr>
            </w:pPr>
            <w:r>
              <w:rPr>
                <w:rFonts w:hint="eastAsia" w:ascii="仿宋" w:hAnsi="仿宋" w:eastAsia="仿宋" w:cs="仿宋"/>
                <w:sz w:val="21"/>
              </w:rPr>
              <w:t>数量</w:t>
            </w:r>
          </w:p>
        </w:tc>
        <w:tc>
          <w:tcPr>
            <w:tcW w:w="1291" w:type="dxa"/>
            <w:tcBorders>
              <w:top w:val="single" w:color="auto" w:sz="4" w:space="0"/>
              <w:left w:val="single" w:color="auto" w:sz="4" w:space="0"/>
              <w:bottom w:val="single" w:color="auto" w:sz="4" w:space="0"/>
              <w:right w:val="single" w:color="auto" w:sz="4" w:space="0"/>
            </w:tcBorders>
            <w:noWrap w:val="0"/>
            <w:vAlign w:val="center"/>
          </w:tcPr>
          <w:p w14:paraId="749BA3F2">
            <w:pPr>
              <w:pStyle w:val="189"/>
              <w:spacing w:line="480" w:lineRule="exact"/>
              <w:jc w:val="center"/>
              <w:rPr>
                <w:rFonts w:hint="eastAsia" w:ascii="仿宋" w:hAnsi="仿宋" w:eastAsia="仿宋" w:cs="仿宋"/>
                <w:sz w:val="21"/>
              </w:rPr>
            </w:pPr>
            <w:r>
              <w:rPr>
                <w:rFonts w:hint="eastAsia" w:ascii="仿宋" w:hAnsi="仿宋" w:eastAsia="仿宋" w:cs="仿宋"/>
                <w:sz w:val="21"/>
              </w:rPr>
              <w:t>单</w:t>
            </w:r>
            <w:r>
              <w:rPr>
                <w:rFonts w:hint="eastAsia" w:ascii="仿宋" w:hAnsi="仿宋" w:eastAsia="仿宋" w:cs="仿宋"/>
                <w:sz w:val="21"/>
                <w:lang w:val="en-US" w:eastAsia="zh-CN"/>
              </w:rPr>
              <w:t>位</w:t>
            </w:r>
            <w:r>
              <w:rPr>
                <w:rFonts w:hint="eastAsia" w:ascii="仿宋" w:hAnsi="仿宋" w:eastAsia="仿宋" w:cs="仿宋"/>
                <w:sz w:val="21"/>
              </w:rPr>
              <w:t>（元）</w:t>
            </w:r>
          </w:p>
        </w:tc>
        <w:tc>
          <w:tcPr>
            <w:tcW w:w="1889" w:type="dxa"/>
            <w:tcBorders>
              <w:top w:val="single" w:color="auto" w:sz="4" w:space="0"/>
              <w:left w:val="single" w:color="auto" w:sz="4" w:space="0"/>
              <w:bottom w:val="single" w:color="auto" w:sz="4" w:space="0"/>
              <w:right w:val="single" w:color="auto" w:sz="4" w:space="0"/>
            </w:tcBorders>
            <w:noWrap w:val="0"/>
            <w:vAlign w:val="center"/>
          </w:tcPr>
          <w:p w14:paraId="39F9888A">
            <w:pPr>
              <w:pStyle w:val="189"/>
              <w:spacing w:line="480" w:lineRule="exact"/>
              <w:jc w:val="center"/>
              <w:rPr>
                <w:rFonts w:hint="eastAsia" w:ascii="仿宋" w:hAnsi="仿宋" w:eastAsia="仿宋" w:cs="仿宋"/>
                <w:sz w:val="21"/>
              </w:rPr>
            </w:pPr>
            <w:r>
              <w:rPr>
                <w:rFonts w:hint="eastAsia" w:ascii="仿宋" w:hAnsi="仿宋" w:eastAsia="仿宋" w:cs="仿宋"/>
                <w:sz w:val="21"/>
              </w:rPr>
              <w:t>总价（元）</w:t>
            </w:r>
          </w:p>
        </w:tc>
      </w:tr>
      <w:tr w14:paraId="4C8340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7" w:hRule="atLeast"/>
          <w:jc w:val="center"/>
        </w:trPr>
        <w:tc>
          <w:tcPr>
            <w:tcW w:w="2865" w:type="dxa"/>
            <w:tcBorders>
              <w:top w:val="single" w:color="auto" w:sz="4" w:space="0"/>
              <w:left w:val="single" w:color="auto" w:sz="4" w:space="0"/>
              <w:bottom w:val="single" w:color="auto" w:sz="4" w:space="0"/>
              <w:right w:val="single" w:color="auto" w:sz="4" w:space="0"/>
            </w:tcBorders>
            <w:noWrap w:val="0"/>
            <w:vAlign w:val="center"/>
          </w:tcPr>
          <w:p w14:paraId="295B5EEE">
            <w:pPr>
              <w:pStyle w:val="189"/>
              <w:spacing w:line="480" w:lineRule="exact"/>
              <w:rPr>
                <w:rFonts w:hint="eastAsia" w:ascii="仿宋" w:hAnsi="仿宋" w:eastAsia="仿宋" w:cs="仿宋"/>
                <w:sz w:val="21"/>
              </w:rPr>
            </w:pPr>
            <w:r>
              <w:rPr>
                <w:rFonts w:hint="eastAsia" w:ascii="仿宋" w:hAnsi="仿宋" w:eastAsia="仿宋" w:cs="仿宋"/>
                <w:sz w:val="21"/>
                <w:lang w:eastAsia="zh-CN"/>
              </w:rPr>
              <w:t>泗洪县政务服务中心办公楼保洁服务采购项目</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7262871">
            <w:pPr>
              <w:pStyle w:val="189"/>
              <w:spacing w:line="480" w:lineRule="exact"/>
              <w:jc w:val="center"/>
              <w:rPr>
                <w:rFonts w:hint="eastAsia" w:ascii="仿宋" w:hAnsi="仿宋" w:eastAsia="仿宋" w:cs="仿宋"/>
                <w:sz w:val="21"/>
                <w:lang w:val="en-US" w:eastAsia="zh-CN"/>
              </w:rPr>
            </w:pPr>
            <w:r>
              <w:rPr>
                <w:rFonts w:hint="eastAsia" w:ascii="仿宋" w:hAnsi="仿宋" w:eastAsia="仿宋" w:cs="仿宋"/>
                <w:sz w:val="21"/>
                <w:lang w:val="en-US" w:eastAsia="zh-CN"/>
              </w:rPr>
              <w:t>项</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09808F7">
            <w:pPr>
              <w:pStyle w:val="189"/>
              <w:spacing w:line="480" w:lineRule="exact"/>
              <w:jc w:val="center"/>
              <w:rPr>
                <w:rFonts w:hint="eastAsia" w:ascii="仿宋" w:hAnsi="仿宋" w:eastAsia="仿宋" w:cs="仿宋"/>
                <w:sz w:val="21"/>
                <w:lang w:val="en-US" w:eastAsia="zh-CN"/>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22AF7EFC">
            <w:pPr>
              <w:pStyle w:val="189"/>
              <w:spacing w:line="480" w:lineRule="exact"/>
              <w:jc w:val="center"/>
              <w:rPr>
                <w:rFonts w:hint="eastAsia" w:ascii="仿宋" w:hAnsi="仿宋" w:eastAsia="仿宋" w:cs="仿宋"/>
                <w:sz w:val="21"/>
              </w:rPr>
            </w:pPr>
          </w:p>
        </w:tc>
        <w:tc>
          <w:tcPr>
            <w:tcW w:w="1889" w:type="dxa"/>
            <w:tcBorders>
              <w:top w:val="single" w:color="auto" w:sz="4" w:space="0"/>
              <w:left w:val="single" w:color="auto" w:sz="4" w:space="0"/>
              <w:bottom w:val="single" w:color="auto" w:sz="4" w:space="0"/>
              <w:right w:val="single" w:color="auto" w:sz="4" w:space="0"/>
            </w:tcBorders>
            <w:noWrap w:val="0"/>
            <w:vAlign w:val="center"/>
          </w:tcPr>
          <w:p w14:paraId="31A1AA9A">
            <w:pPr>
              <w:pStyle w:val="189"/>
              <w:spacing w:line="480" w:lineRule="exact"/>
              <w:jc w:val="center"/>
              <w:rPr>
                <w:rFonts w:hint="eastAsia" w:ascii="仿宋" w:hAnsi="仿宋" w:eastAsia="仿宋" w:cs="仿宋"/>
                <w:sz w:val="21"/>
              </w:rPr>
            </w:pPr>
          </w:p>
        </w:tc>
      </w:tr>
      <w:tr w14:paraId="7ABEC6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7" w:hRule="atLeast"/>
          <w:jc w:val="center"/>
        </w:trPr>
        <w:tc>
          <w:tcPr>
            <w:tcW w:w="7995" w:type="dxa"/>
            <w:gridSpan w:val="5"/>
            <w:tcBorders>
              <w:top w:val="single" w:color="auto" w:sz="4" w:space="0"/>
              <w:left w:val="single" w:color="auto" w:sz="4" w:space="0"/>
              <w:bottom w:val="single" w:color="auto" w:sz="4" w:space="0"/>
              <w:right w:val="single" w:color="auto" w:sz="4" w:space="0"/>
            </w:tcBorders>
            <w:noWrap w:val="0"/>
            <w:vAlign w:val="center"/>
          </w:tcPr>
          <w:p w14:paraId="5F4511F6">
            <w:pPr>
              <w:pStyle w:val="189"/>
              <w:spacing w:line="480" w:lineRule="exact"/>
              <w:ind w:right="600"/>
              <w:rPr>
                <w:rFonts w:hint="eastAsia" w:ascii="仿宋" w:hAnsi="仿宋" w:eastAsia="仿宋" w:cs="仿宋"/>
                <w:sz w:val="21"/>
              </w:rPr>
            </w:pPr>
            <w:r>
              <w:rPr>
                <w:rFonts w:hint="eastAsia" w:ascii="仿宋" w:hAnsi="仿宋" w:eastAsia="仿宋" w:cs="仿宋"/>
                <w:sz w:val="21"/>
              </w:rPr>
              <w:t xml:space="preserve">合计人民币金额（大写）： </w:t>
            </w:r>
            <w:r>
              <w:rPr>
                <w:rFonts w:hint="eastAsia" w:ascii="仿宋" w:hAnsi="仿宋" w:eastAsia="仿宋" w:cs="仿宋"/>
                <w:sz w:val="21"/>
                <w:lang w:val="en-US" w:eastAsia="zh-CN"/>
              </w:rPr>
              <w:t xml:space="preserve">     </w:t>
            </w:r>
            <w:r>
              <w:rPr>
                <w:rFonts w:hint="eastAsia" w:ascii="仿宋" w:hAnsi="仿宋" w:eastAsia="仿宋" w:cs="仿宋"/>
                <w:sz w:val="21"/>
              </w:rPr>
              <w:t xml:space="preserve"> （￥：</w:t>
            </w:r>
            <w:r>
              <w:rPr>
                <w:rFonts w:hint="eastAsia" w:ascii="仿宋" w:hAnsi="仿宋" w:eastAsia="仿宋" w:cs="仿宋"/>
                <w:sz w:val="21"/>
                <w:lang w:val="en-US" w:eastAsia="zh-CN"/>
              </w:rPr>
              <w:t xml:space="preserve">               </w:t>
            </w:r>
            <w:r>
              <w:rPr>
                <w:rFonts w:hint="eastAsia" w:ascii="仿宋" w:hAnsi="仿宋" w:eastAsia="仿宋" w:cs="仿宋"/>
                <w:sz w:val="21"/>
              </w:rPr>
              <w:t>元）</w:t>
            </w:r>
          </w:p>
        </w:tc>
      </w:tr>
    </w:tbl>
    <w:p w14:paraId="24B58E41">
      <w:pPr>
        <w:pStyle w:val="189"/>
        <w:spacing w:line="480" w:lineRule="exact"/>
        <w:rPr>
          <w:rFonts w:hint="eastAsia" w:ascii="仿宋" w:hAnsi="仿宋" w:eastAsia="仿宋" w:cs="仿宋"/>
          <w:b w:val="0"/>
          <w:bCs/>
          <w:sz w:val="24"/>
          <w:lang w:val="en-US" w:eastAsia="zh-CN"/>
        </w:rPr>
      </w:pPr>
      <w:r>
        <w:rPr>
          <w:rFonts w:hint="eastAsia" w:ascii="仿宋" w:hAnsi="仿宋" w:eastAsia="仿宋" w:cs="仿宋"/>
          <w:b/>
          <w:sz w:val="24"/>
          <w:lang w:val="en-US" w:eastAsia="zh-CN"/>
        </w:rPr>
        <w:t>注：</w:t>
      </w:r>
      <w:r>
        <w:rPr>
          <w:rFonts w:hint="eastAsia" w:ascii="仿宋" w:hAnsi="仿宋" w:eastAsia="仿宋" w:cs="仿宋"/>
          <w:b w:val="0"/>
          <w:bCs/>
          <w:sz w:val="24"/>
          <w:lang w:val="en-US" w:eastAsia="zh-CN"/>
        </w:rPr>
        <w:t>1、乙方负责区域的保洁工作，具体内容见招标文件和乙方的响应文件。</w:t>
      </w:r>
    </w:p>
    <w:p w14:paraId="7A4ECEC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2、下列文件为本合同不可分割部分：</w:t>
      </w:r>
    </w:p>
    <w:p w14:paraId="5658C5F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①成交通知书；</w:t>
      </w:r>
    </w:p>
    <w:p w14:paraId="7CFC6C9B">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②乙方的响应文件；</w:t>
      </w:r>
    </w:p>
    <w:p w14:paraId="7693170B">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③乙方在招投标过程中所作的其它承诺、声明、书面澄清等；</w:t>
      </w:r>
    </w:p>
    <w:p w14:paraId="389ADCA0">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④招标文件及其附件；</w:t>
      </w:r>
    </w:p>
    <w:p w14:paraId="2055CD6A">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⑤合同附件；</w:t>
      </w:r>
    </w:p>
    <w:p w14:paraId="4852F241">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仿宋" w:hAnsi="仿宋" w:eastAsia="仿宋" w:cs="仿宋"/>
          <w:b w:val="0"/>
          <w:bCs/>
          <w:sz w:val="24"/>
          <w:lang w:val="en-US" w:eastAsia="zh-CN"/>
        </w:rPr>
      </w:pPr>
      <w:r>
        <w:rPr>
          <w:rFonts w:hint="eastAsia" w:ascii="仿宋" w:hAnsi="仿宋" w:eastAsia="仿宋" w:cs="仿宋"/>
          <w:b w:val="0"/>
          <w:bCs/>
          <w:sz w:val="24"/>
          <w:szCs w:val="22"/>
          <w:lang w:val="en-US" w:eastAsia="zh-CN" w:bidi="ar-SA"/>
        </w:rPr>
        <w:t>以上与本合同具有同等法律效力。</w:t>
      </w:r>
    </w:p>
    <w:p w14:paraId="0116C973">
      <w:pPr>
        <w:pStyle w:val="189"/>
        <w:spacing w:line="480" w:lineRule="exact"/>
        <w:ind w:firstLine="482"/>
        <w:rPr>
          <w:rFonts w:hint="eastAsia" w:ascii="仿宋" w:hAnsi="仿宋" w:eastAsia="仿宋" w:cs="仿宋"/>
          <w:b/>
          <w:sz w:val="24"/>
        </w:rPr>
      </w:pPr>
      <w:r>
        <w:rPr>
          <w:rFonts w:hint="eastAsia" w:ascii="仿宋" w:hAnsi="仿宋" w:eastAsia="仿宋" w:cs="仿宋"/>
          <w:b/>
          <w:sz w:val="24"/>
        </w:rPr>
        <w:t>二、</w:t>
      </w:r>
      <w:r>
        <w:rPr>
          <w:rFonts w:hint="eastAsia" w:ascii="仿宋" w:hAnsi="仿宋" w:eastAsia="仿宋" w:cs="仿宋"/>
          <w:b/>
          <w:sz w:val="24"/>
          <w:lang w:val="en-US" w:eastAsia="zh-CN"/>
        </w:rPr>
        <w:t>服务</w:t>
      </w:r>
      <w:r>
        <w:rPr>
          <w:rFonts w:hint="eastAsia" w:ascii="仿宋" w:hAnsi="仿宋" w:eastAsia="仿宋" w:cs="仿宋"/>
          <w:b/>
          <w:sz w:val="24"/>
        </w:rPr>
        <w:t>时间、地点</w:t>
      </w:r>
    </w:p>
    <w:p w14:paraId="1EAC6BA0">
      <w:pPr>
        <w:pStyle w:val="189"/>
        <w:spacing w:line="480" w:lineRule="exact"/>
        <w:ind w:firstLine="480"/>
        <w:rPr>
          <w:rFonts w:hint="eastAsia" w:ascii="仿宋" w:hAnsi="仿宋" w:eastAsia="仿宋" w:cs="仿宋"/>
          <w:sz w:val="24"/>
        </w:rPr>
      </w:pPr>
      <w:r>
        <w:rPr>
          <w:rFonts w:hint="eastAsia" w:ascii="仿宋" w:hAnsi="仿宋" w:eastAsia="仿宋" w:cs="仿宋"/>
          <w:color w:val="000000"/>
          <w:sz w:val="24"/>
        </w:rPr>
        <w:t>（一）</w:t>
      </w:r>
      <w:r>
        <w:rPr>
          <w:rFonts w:hint="eastAsia" w:ascii="仿宋" w:hAnsi="仿宋" w:eastAsia="仿宋" w:cs="仿宋"/>
          <w:color w:val="000000"/>
          <w:sz w:val="24"/>
          <w:lang w:val="en-US" w:eastAsia="zh-CN"/>
        </w:rPr>
        <w:t>服务期限：</w:t>
      </w:r>
      <w:r>
        <w:rPr>
          <w:rFonts w:hint="eastAsia" w:ascii="仿宋" w:hAnsi="仿宋" w:eastAsia="仿宋" w:cs="仿宋"/>
          <w:color w:val="000000"/>
          <w:sz w:val="24"/>
          <w:u w:val="single"/>
          <w:lang w:val="en-US" w:eastAsia="zh-CN"/>
        </w:rPr>
        <w:t xml:space="preserve">    </w:t>
      </w:r>
      <w:r>
        <w:rPr>
          <w:rFonts w:hint="eastAsia" w:ascii="仿宋" w:hAnsi="仿宋" w:eastAsia="仿宋" w:cs="仿宋"/>
          <w:sz w:val="24"/>
          <w:szCs w:val="24"/>
          <w:lang w:val="en-US" w:eastAsia="zh-CN"/>
        </w:rPr>
        <w:t>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日</w:t>
      </w:r>
      <w:r>
        <w:rPr>
          <w:rStyle w:val="42"/>
          <w:rFonts w:hint="eastAsia" w:ascii="仿宋" w:hAnsi="仿宋" w:eastAsia="仿宋" w:cs="仿宋"/>
          <w:color w:val="auto"/>
          <w:sz w:val="24"/>
          <w:szCs w:val="24"/>
          <w:highlight w:val="none"/>
          <w:lang w:val="en-US" w:eastAsia="zh-CN"/>
        </w:rPr>
        <w:t>起</w:t>
      </w:r>
      <w:r>
        <w:rPr>
          <w:rFonts w:hint="eastAsia" w:ascii="仿宋" w:hAnsi="仿宋" w:eastAsia="仿宋" w:cs="仿宋"/>
          <w:sz w:val="24"/>
          <w:szCs w:val="24"/>
          <w:highlight w:val="none"/>
          <w:lang w:val="en-US" w:eastAsia="zh-CN"/>
        </w:rPr>
        <w:t>至</w:t>
      </w:r>
      <w:r>
        <w:rPr>
          <w:rFonts w:hint="eastAsia" w:ascii="仿宋" w:hAnsi="仿宋" w:eastAsia="仿宋" w:cs="仿宋"/>
          <w:color w:val="000000"/>
          <w:sz w:val="24"/>
          <w:u w:val="single"/>
          <w:lang w:val="en-US" w:eastAsia="zh-CN"/>
        </w:rPr>
        <w:t xml:space="preserve">    </w:t>
      </w:r>
      <w:r>
        <w:rPr>
          <w:rFonts w:hint="eastAsia" w:ascii="仿宋" w:hAnsi="仿宋" w:eastAsia="仿宋" w:cs="仿宋"/>
          <w:sz w:val="24"/>
          <w:szCs w:val="24"/>
          <w:lang w:val="en-US" w:eastAsia="zh-CN"/>
        </w:rPr>
        <w:t>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日止。</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合同一年一签，</w:t>
      </w:r>
      <w:r>
        <w:rPr>
          <w:rFonts w:hint="eastAsia" w:ascii="仿宋" w:hAnsi="仿宋" w:eastAsia="仿宋" w:cs="仿宋"/>
          <w:b/>
          <w:bCs/>
          <w:color w:val="auto"/>
          <w:sz w:val="24"/>
          <w:lang w:val="en-US" w:eastAsia="zh-CN"/>
        </w:rPr>
        <w:t>第一年合同期满后，如双方无异议，可按照中标金额续签合同，最长服务期限不超过三年。）</w:t>
      </w:r>
    </w:p>
    <w:p w14:paraId="15A90DE7">
      <w:pPr>
        <w:pStyle w:val="189"/>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（二）</w:t>
      </w:r>
      <w:r>
        <w:rPr>
          <w:rFonts w:hint="eastAsia" w:ascii="仿宋" w:hAnsi="仿宋" w:eastAsia="仿宋" w:cs="仿宋"/>
          <w:color w:val="000000"/>
          <w:sz w:val="24"/>
          <w:lang w:val="en-US" w:eastAsia="zh-CN"/>
        </w:rPr>
        <w:t>服务</w:t>
      </w:r>
      <w:r>
        <w:rPr>
          <w:rFonts w:hint="eastAsia" w:ascii="仿宋" w:hAnsi="仿宋" w:eastAsia="仿宋" w:cs="仿宋"/>
          <w:color w:val="000000"/>
          <w:sz w:val="24"/>
        </w:rPr>
        <w:t>地点：</w:t>
      </w:r>
      <w:r>
        <w:rPr>
          <w:rStyle w:val="42"/>
          <w:rFonts w:hint="eastAsia" w:ascii="仿宋" w:hAnsi="仿宋" w:eastAsia="仿宋" w:cs="仿宋"/>
          <w:color w:val="000000"/>
          <w:sz w:val="24"/>
          <w:szCs w:val="24"/>
          <w:lang w:val="en-US" w:eastAsia="zh-CN" w:bidi="ar-SA"/>
        </w:rPr>
        <w:t>甲方指定地点</w:t>
      </w:r>
      <w:r>
        <w:rPr>
          <w:rFonts w:hint="eastAsia" w:ascii="仿宋" w:hAnsi="仿宋" w:eastAsia="仿宋" w:cs="仿宋"/>
          <w:color w:val="000000"/>
          <w:sz w:val="24"/>
        </w:rPr>
        <w:t>。</w:t>
      </w:r>
    </w:p>
    <w:p w14:paraId="4EF26F5D">
      <w:pPr>
        <w:pStyle w:val="189"/>
        <w:spacing w:line="480" w:lineRule="exact"/>
        <w:ind w:firstLine="475"/>
        <w:rPr>
          <w:rFonts w:hint="eastAsia" w:ascii="仿宋" w:hAnsi="仿宋" w:eastAsia="仿宋" w:cs="仿宋"/>
          <w:b/>
          <w:sz w:val="24"/>
          <w:highlight w:val="none"/>
          <w:lang w:val="en-US" w:eastAsia="zh-CN"/>
        </w:rPr>
      </w:pPr>
      <w:r>
        <w:rPr>
          <w:rFonts w:hint="eastAsia" w:ascii="仿宋" w:hAnsi="仿宋" w:eastAsia="仿宋" w:cs="仿宋"/>
          <w:b/>
          <w:sz w:val="24"/>
          <w:highlight w:val="none"/>
        </w:rPr>
        <w:t>三、</w:t>
      </w:r>
      <w:r>
        <w:rPr>
          <w:rFonts w:hint="eastAsia" w:ascii="仿宋" w:hAnsi="仿宋" w:eastAsia="仿宋" w:cs="仿宋"/>
          <w:b/>
          <w:sz w:val="24"/>
          <w:highlight w:val="none"/>
          <w:lang w:val="en-US" w:eastAsia="zh-CN"/>
        </w:rPr>
        <w:t>付款方式</w:t>
      </w:r>
    </w:p>
    <w:p w14:paraId="48A0150F">
      <w:pPr>
        <w:pStyle w:val="499"/>
        <w:keepNext w:val="0"/>
        <w:keepLines w:val="0"/>
        <w:pageBreakBefore w:val="0"/>
        <w:numPr>
          <w:ilvl w:val="0"/>
          <w:numId w:val="0"/>
        </w:numPr>
        <w:spacing w:line="500" w:lineRule="exact"/>
        <w:ind w:firstLine="482"/>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采购合同签订后，收到供应商发票</w:t>
      </w:r>
      <w:r>
        <w:rPr>
          <w:rFonts w:hint="eastAsia" w:ascii="仿宋" w:hAnsi="仿宋" w:eastAsia="仿宋" w:cs="仿宋"/>
          <w:b w:val="0"/>
          <w:bCs w:val="0"/>
          <w:color w:val="auto"/>
          <w:sz w:val="24"/>
          <w:szCs w:val="24"/>
          <w:lang w:val="en-US" w:eastAsia="zh-CN"/>
        </w:rPr>
        <w:t>10</w:t>
      </w:r>
      <w:r>
        <w:rPr>
          <w:rFonts w:hint="eastAsia" w:ascii="仿宋" w:hAnsi="仿宋" w:eastAsia="仿宋" w:cs="仿宋"/>
          <w:b w:val="0"/>
          <w:bCs w:val="0"/>
          <w:color w:val="auto"/>
          <w:sz w:val="24"/>
          <w:szCs w:val="24"/>
        </w:rPr>
        <w:t>个工作日内预付合同价款的10%；</w:t>
      </w:r>
    </w:p>
    <w:p w14:paraId="1C5D3E62">
      <w:pPr>
        <w:pStyle w:val="499"/>
        <w:keepNext w:val="0"/>
        <w:keepLines w:val="0"/>
        <w:pageBreakBefore w:val="0"/>
        <w:numPr>
          <w:ilvl w:val="0"/>
          <w:numId w:val="0"/>
        </w:numPr>
        <w:spacing w:line="500" w:lineRule="exact"/>
        <w:ind w:firstLine="48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注：在签订合同时，供应商明确表示无需预付款或者主动要求降低预付款比例的，采购人可不适用预付规定。</w:t>
      </w:r>
    </w:p>
    <w:p w14:paraId="42A363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Style w:val="42"/>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rPr>
        <w:t>进度款：</w:t>
      </w:r>
      <w:r>
        <w:rPr>
          <w:rFonts w:hint="eastAsia" w:ascii="仿宋" w:hAnsi="仿宋" w:eastAsia="仿宋" w:cs="仿宋"/>
          <w:b w:val="0"/>
          <w:bCs w:val="0"/>
          <w:color w:val="auto"/>
          <w:sz w:val="24"/>
          <w:szCs w:val="24"/>
          <w:lang w:val="en-US" w:eastAsia="zh-CN" w:bidi="ar-SA"/>
        </w:rPr>
        <w:t>按月支付，根据考核情况，扣除考核罚金后按月据实结算（不足一月的按月服务费/月天数*实际服务天数结算），乙方于每月20日前向甲方出具上月服务费发票，甲方收到乙方发票后10个工作日内支付上月保洁服务费。（</w:t>
      </w:r>
      <w:r>
        <w:rPr>
          <w:rFonts w:hint="eastAsia" w:ascii="仿宋" w:hAnsi="仿宋" w:eastAsia="仿宋" w:cs="仿宋"/>
          <w:b w:val="0"/>
          <w:bCs w:val="0"/>
          <w:color w:val="auto"/>
          <w:sz w:val="24"/>
          <w:szCs w:val="24"/>
        </w:rPr>
        <w:t>预付款</w:t>
      </w:r>
      <w:r>
        <w:rPr>
          <w:rFonts w:hint="eastAsia" w:ascii="仿宋" w:hAnsi="仿宋" w:eastAsia="仿宋" w:cs="仿宋"/>
          <w:b w:val="0"/>
          <w:bCs w:val="0"/>
          <w:color w:val="auto"/>
          <w:sz w:val="24"/>
          <w:szCs w:val="24"/>
          <w:lang w:val="en-US" w:eastAsia="zh-CN"/>
        </w:rPr>
        <w:t>从第一次支付进度款中开始扣除</w:t>
      </w:r>
      <w:r>
        <w:rPr>
          <w:rFonts w:hint="eastAsia" w:ascii="仿宋" w:hAnsi="仿宋" w:eastAsia="仿宋" w:cs="仿宋"/>
          <w:b w:val="0"/>
          <w:bCs w:val="0"/>
          <w:color w:val="auto"/>
          <w:sz w:val="24"/>
          <w:szCs w:val="24"/>
        </w:rPr>
        <w:t>，扣完为止</w:t>
      </w:r>
      <w:r>
        <w:rPr>
          <w:rFonts w:hint="eastAsia" w:ascii="仿宋" w:hAnsi="仿宋" w:eastAsia="仿宋" w:cs="仿宋"/>
          <w:b w:val="0"/>
          <w:bCs w:val="0"/>
          <w:color w:val="auto"/>
          <w:sz w:val="24"/>
          <w:szCs w:val="24"/>
          <w:lang w:eastAsia="zh-CN"/>
        </w:rPr>
        <w:t>）</w:t>
      </w:r>
    </w:p>
    <w:p w14:paraId="349A9F0B">
      <w:pPr>
        <w:pStyle w:val="189"/>
        <w:spacing w:line="480" w:lineRule="exact"/>
        <w:ind w:firstLine="475"/>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四、服务内容及要求</w:t>
      </w:r>
    </w:p>
    <w:p w14:paraId="1FA1F8F6">
      <w:pPr>
        <w:pStyle w:val="330"/>
        <w:rPr>
          <w:rFonts w:hint="eastAsia"/>
          <w:lang w:val="zh-CN" w:eastAsia="zh-CN"/>
        </w:rPr>
      </w:pPr>
    </w:p>
    <w:tbl>
      <w:tblPr>
        <w:tblStyle w:val="40"/>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
        <w:gridCol w:w="1185"/>
        <w:gridCol w:w="1650"/>
        <w:gridCol w:w="6053"/>
      </w:tblGrid>
      <w:tr w14:paraId="36C9F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737" w:type="dxa"/>
            <w:noWrap w:val="0"/>
            <w:vAlign w:val="center"/>
          </w:tcPr>
          <w:p w14:paraId="31963542">
            <w:pPr>
              <w:pStyle w:val="522"/>
              <w:spacing w:line="360" w:lineRule="auto"/>
              <w:jc w:val="center"/>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序号</w:t>
            </w:r>
          </w:p>
        </w:tc>
        <w:tc>
          <w:tcPr>
            <w:tcW w:w="1185" w:type="dxa"/>
            <w:noWrap w:val="0"/>
            <w:vAlign w:val="center"/>
          </w:tcPr>
          <w:p w14:paraId="015AA27E">
            <w:pPr>
              <w:pStyle w:val="522"/>
              <w:spacing w:line="360" w:lineRule="auto"/>
              <w:jc w:val="center"/>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服务场地</w:t>
            </w:r>
          </w:p>
        </w:tc>
        <w:tc>
          <w:tcPr>
            <w:tcW w:w="1650" w:type="dxa"/>
            <w:noWrap w:val="0"/>
            <w:vAlign w:val="center"/>
          </w:tcPr>
          <w:p w14:paraId="7700DA6D">
            <w:pPr>
              <w:pStyle w:val="522"/>
              <w:spacing w:line="360" w:lineRule="auto"/>
              <w:jc w:val="center"/>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服务内容</w:t>
            </w:r>
          </w:p>
        </w:tc>
        <w:tc>
          <w:tcPr>
            <w:tcW w:w="6053" w:type="dxa"/>
            <w:noWrap w:val="0"/>
            <w:vAlign w:val="center"/>
          </w:tcPr>
          <w:p w14:paraId="79A17BC1">
            <w:pPr>
              <w:pStyle w:val="522"/>
              <w:spacing w:line="360" w:lineRule="auto"/>
              <w:jc w:val="center"/>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服务标准</w:t>
            </w:r>
          </w:p>
        </w:tc>
      </w:tr>
      <w:tr w14:paraId="748A4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jc w:val="center"/>
        </w:trPr>
        <w:tc>
          <w:tcPr>
            <w:tcW w:w="737" w:type="dxa"/>
            <w:vMerge w:val="restart"/>
            <w:noWrap w:val="0"/>
            <w:vAlign w:val="center"/>
          </w:tcPr>
          <w:p w14:paraId="090D4345">
            <w:pPr>
              <w:pStyle w:val="522"/>
              <w:spacing w:line="360" w:lineRule="auto"/>
              <w:jc w:val="center"/>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w:t>
            </w:r>
          </w:p>
        </w:tc>
        <w:tc>
          <w:tcPr>
            <w:tcW w:w="1185" w:type="dxa"/>
            <w:vMerge w:val="restart"/>
            <w:noWrap w:val="0"/>
            <w:vAlign w:val="center"/>
          </w:tcPr>
          <w:p w14:paraId="734A6CE3">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基本要求</w:t>
            </w:r>
          </w:p>
        </w:tc>
        <w:tc>
          <w:tcPr>
            <w:tcW w:w="1650" w:type="dxa"/>
            <w:noWrap w:val="0"/>
            <w:vAlign w:val="bottom"/>
          </w:tcPr>
          <w:p w14:paraId="505B1C4B">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着装要求</w:t>
            </w:r>
          </w:p>
        </w:tc>
        <w:tc>
          <w:tcPr>
            <w:tcW w:w="6053" w:type="dxa"/>
            <w:noWrap w:val="0"/>
            <w:vAlign w:val="bottom"/>
          </w:tcPr>
          <w:p w14:paraId="01C94248">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须统一着装，挂牌上岗，仪表整洁规范。</w:t>
            </w:r>
          </w:p>
        </w:tc>
      </w:tr>
      <w:tr w14:paraId="2AA95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737" w:type="dxa"/>
            <w:vMerge w:val="continue"/>
            <w:noWrap w:val="0"/>
            <w:vAlign w:val="center"/>
          </w:tcPr>
          <w:p w14:paraId="1139BCA0">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113B7F85">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bottom"/>
          </w:tcPr>
          <w:p w14:paraId="027855F3">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工作计划</w:t>
            </w:r>
          </w:p>
        </w:tc>
        <w:tc>
          <w:tcPr>
            <w:tcW w:w="6053" w:type="dxa"/>
            <w:noWrap w:val="0"/>
            <w:vAlign w:val="bottom"/>
          </w:tcPr>
          <w:p w14:paraId="4D285E44">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制定保洁工作计划并组织实施，每月向委托方报告一次计划实施情况。</w:t>
            </w:r>
          </w:p>
        </w:tc>
      </w:tr>
      <w:tr w14:paraId="0C863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737" w:type="dxa"/>
            <w:vMerge w:val="continue"/>
            <w:noWrap w:val="0"/>
            <w:vAlign w:val="center"/>
          </w:tcPr>
          <w:p w14:paraId="1F8F21AE">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4E4EA057">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bottom"/>
          </w:tcPr>
          <w:p w14:paraId="5F7C7272">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服务规范</w:t>
            </w:r>
          </w:p>
        </w:tc>
        <w:tc>
          <w:tcPr>
            <w:tcW w:w="6053" w:type="dxa"/>
            <w:noWrap w:val="0"/>
            <w:vAlign w:val="bottom"/>
          </w:tcPr>
          <w:p w14:paraId="520EB83B">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应符合行业相关标准。做到文明服务、优质服务。</w:t>
            </w:r>
          </w:p>
        </w:tc>
      </w:tr>
      <w:tr w14:paraId="3D032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737" w:type="dxa"/>
            <w:vMerge w:val="continue"/>
            <w:noWrap w:val="0"/>
            <w:vAlign w:val="center"/>
          </w:tcPr>
          <w:p w14:paraId="58FDE19E">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5F7D40EB">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center"/>
          </w:tcPr>
          <w:p w14:paraId="3C3963AB">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管理制度</w:t>
            </w:r>
          </w:p>
        </w:tc>
        <w:tc>
          <w:tcPr>
            <w:tcW w:w="6053" w:type="dxa"/>
            <w:noWrap w:val="0"/>
            <w:vAlign w:val="bottom"/>
          </w:tcPr>
          <w:p w14:paraId="0B32CBA0">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1、有明确的值班制度和交接班制度，工作有记录。</w:t>
            </w:r>
          </w:p>
          <w:p w14:paraId="7CEBCD9D">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2、制定管理处内部管理制度、考核制度和培训制度。</w:t>
            </w:r>
          </w:p>
        </w:tc>
      </w:tr>
      <w:tr w14:paraId="2C6A4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737" w:type="dxa"/>
            <w:vMerge w:val="continue"/>
            <w:noWrap w:val="0"/>
            <w:vAlign w:val="center"/>
          </w:tcPr>
          <w:p w14:paraId="3F1C5502">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19E69401">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bottom"/>
          </w:tcPr>
          <w:p w14:paraId="4ED36A63">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满意度调查</w:t>
            </w:r>
          </w:p>
        </w:tc>
        <w:tc>
          <w:tcPr>
            <w:tcW w:w="6053" w:type="dxa"/>
            <w:noWrap w:val="0"/>
            <w:vAlign w:val="bottom"/>
          </w:tcPr>
          <w:p w14:paraId="5219E18F">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每年进行满意情况普测，对测评结果分析并及时整改。</w:t>
            </w:r>
          </w:p>
        </w:tc>
      </w:tr>
      <w:tr w14:paraId="67771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737" w:type="dxa"/>
            <w:vMerge w:val="continue"/>
            <w:noWrap w:val="0"/>
            <w:vAlign w:val="center"/>
          </w:tcPr>
          <w:p w14:paraId="7BFFE35C">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67A7B7E6">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650" w:type="dxa"/>
            <w:noWrap w:val="0"/>
            <w:vAlign w:val="bottom"/>
          </w:tcPr>
          <w:p w14:paraId="295F6A6F">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其他</w:t>
            </w:r>
          </w:p>
        </w:tc>
        <w:tc>
          <w:tcPr>
            <w:tcW w:w="6053" w:type="dxa"/>
            <w:noWrap w:val="0"/>
            <w:vAlign w:val="bottom"/>
          </w:tcPr>
          <w:p w14:paraId="585FC6FF">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综合管理的其它服务项目达到约定的服务标准。</w:t>
            </w:r>
          </w:p>
        </w:tc>
      </w:tr>
      <w:tr w14:paraId="57A08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9" w:hRule="atLeast"/>
          <w:jc w:val="center"/>
        </w:trPr>
        <w:tc>
          <w:tcPr>
            <w:tcW w:w="737" w:type="dxa"/>
            <w:vMerge w:val="restart"/>
            <w:noWrap w:val="0"/>
            <w:vAlign w:val="center"/>
          </w:tcPr>
          <w:p w14:paraId="2E21A34E">
            <w:pPr>
              <w:pStyle w:val="522"/>
              <w:spacing w:line="360" w:lineRule="auto"/>
              <w:jc w:val="center"/>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w:t>
            </w:r>
          </w:p>
        </w:tc>
        <w:tc>
          <w:tcPr>
            <w:tcW w:w="1185" w:type="dxa"/>
            <w:vMerge w:val="restart"/>
            <w:noWrap w:val="0"/>
            <w:vAlign w:val="center"/>
          </w:tcPr>
          <w:p w14:paraId="005469BC">
            <w:pPr>
              <w:pStyle w:val="522"/>
              <w:spacing w:line="360" w:lineRule="auto"/>
              <w:jc w:val="center"/>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办公楼内公共区域</w:t>
            </w:r>
          </w:p>
          <w:p w14:paraId="037D664F">
            <w:pPr>
              <w:pStyle w:val="522"/>
              <w:spacing w:line="360" w:lineRule="auto"/>
              <w:jc w:val="center"/>
              <w:rPr>
                <w:rFonts w:hint="eastAsia" w:ascii="仿宋" w:hAnsi="仿宋" w:eastAsia="仿宋" w:cs="仿宋"/>
                <w:color w:val="auto"/>
                <w:sz w:val="21"/>
                <w:szCs w:val="24"/>
                <w:highlight w:val="none"/>
                <w:rtl w:val="0"/>
                <w:lang w:val="en-US" w:eastAsia="zh-CN" w:bidi="ar-SA"/>
              </w:rPr>
            </w:pPr>
          </w:p>
          <w:p w14:paraId="0A1A1EF6">
            <w:pPr>
              <w:pStyle w:val="522"/>
              <w:spacing w:line="360" w:lineRule="auto"/>
              <w:jc w:val="center"/>
              <w:rPr>
                <w:rFonts w:hint="eastAsia" w:ascii="仿宋" w:hAnsi="仿宋" w:eastAsia="仿宋" w:cs="仿宋"/>
                <w:color w:val="auto"/>
                <w:sz w:val="21"/>
                <w:szCs w:val="24"/>
                <w:highlight w:val="none"/>
                <w:rtl w:val="0"/>
                <w:lang w:val="en-US" w:eastAsia="zh-CN" w:bidi="ar-SA"/>
              </w:rPr>
            </w:pPr>
          </w:p>
        </w:tc>
        <w:tc>
          <w:tcPr>
            <w:tcW w:w="1650" w:type="dxa"/>
            <w:noWrap w:val="0"/>
            <w:vAlign w:val="center"/>
          </w:tcPr>
          <w:p w14:paraId="72E797B3">
            <w:pPr>
              <w:pStyle w:val="522"/>
              <w:spacing w:line="360" w:lineRule="auto"/>
              <w:jc w:val="left"/>
              <w:rPr>
                <w:rFonts w:hint="eastAsia" w:ascii="仿宋" w:hAnsi="仿宋" w:eastAsia="仿宋" w:cs="仿宋"/>
                <w:color w:val="auto"/>
                <w:sz w:val="21"/>
                <w:szCs w:val="24"/>
                <w:highlight w:val="none"/>
                <w:rtl w:val="0"/>
                <w:lang w:val="en-US" w:eastAsia="zh-CN" w:bidi="ar-SA"/>
              </w:rPr>
            </w:pPr>
          </w:p>
          <w:p w14:paraId="307A3FAE">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垃圾收集及清理外运</w:t>
            </w:r>
          </w:p>
          <w:p w14:paraId="72F30D0A">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6053" w:type="dxa"/>
            <w:noWrap w:val="0"/>
            <w:vAlign w:val="center"/>
          </w:tcPr>
          <w:p w14:paraId="43D684F5">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设置垃圾收集点，每天更换两次垃圾箱、楼道垃圾桶、公共卫生间垃圾袋；每天定时清理二次。袋装垃圾摆放整齐，地面无明显垃圾，无污水外溢，无明显异味，垃圾日产日清，保洁员当日运离，不得隔夜。</w:t>
            </w:r>
          </w:p>
        </w:tc>
      </w:tr>
      <w:tr w14:paraId="7057A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7" w:type="dxa"/>
            <w:vMerge w:val="continue"/>
            <w:noWrap w:val="0"/>
            <w:vAlign w:val="center"/>
          </w:tcPr>
          <w:p w14:paraId="7F3F5CF4">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15C33573">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0F01C6C1">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办公楼等公共区域及楼梯台阶及大厅</w:t>
            </w:r>
          </w:p>
          <w:p w14:paraId="7F1C8917">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6053" w:type="dxa"/>
            <w:noWrap w:val="0"/>
            <w:vAlign w:val="center"/>
          </w:tcPr>
          <w:p w14:paraId="2444B86F">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1、室内墙面每周至少除尘一次，楼梯间无灰尘、无乱贴乱画，梯步踏步干净无污渍、不锈钢扶手和护栏、门窗每周保养一次，大理石台面、踏步每月养护一次。</w:t>
            </w:r>
          </w:p>
          <w:p w14:paraId="32C8A3C7">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2、每日循环清扫地面垃圾，清除台面、地面的污迹，每周拖、洗两次，每月彻底养护两次，三所监区一二楼地面每周集中清理一次，平时发现污渍及时处理。</w:t>
            </w:r>
          </w:p>
          <w:p w14:paraId="7A72C0B3">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3、所有楼通道、楼梯及公共区域的墙地面、窗户每日至少拖擦2次，推尘4次，所有不锈钢门窗、玻璃门窗每月要保洁、养护2次以上。</w:t>
            </w:r>
          </w:p>
          <w:p w14:paraId="5A124A80">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电子显示屏干净无尘。</w:t>
            </w:r>
          </w:p>
        </w:tc>
      </w:tr>
      <w:tr w14:paraId="36125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7" w:type="dxa"/>
            <w:vMerge w:val="continue"/>
            <w:noWrap w:val="0"/>
            <w:vAlign w:val="center"/>
          </w:tcPr>
          <w:p w14:paraId="2AECD1E3">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38149F35">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0F94D68B">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公共卫生间</w:t>
            </w:r>
          </w:p>
        </w:tc>
        <w:tc>
          <w:tcPr>
            <w:tcW w:w="6053" w:type="dxa"/>
            <w:noWrap w:val="0"/>
            <w:vAlign w:val="center"/>
          </w:tcPr>
          <w:p w14:paraId="400D07B4">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保证洗手间无异味、无水迹、尿迹、无污渍；镜面清洁光亮，墙面、隔断无污迹、无灰尘。垃圾桶内、外干净，垃圾袋内垃圾不超过1/2，每日更换不低于一次；每月1次用毛巾擦灯具；每周2次对共用卫生间进行消毒；负责疏通卫生间下水道的堵塞。</w:t>
            </w:r>
          </w:p>
          <w:p w14:paraId="7A46EDC3">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2、拖布和日用品要摆放整齐，每周对卫生间彻底冲刷一次，定时喷洒空气清新剂，保证无异味（包括所有公共卫生间）；间便纸垃圾袋一切洁具均不准放在明处，楼层以及所有区域保洁时，均要放臵警示牌。</w:t>
            </w:r>
          </w:p>
        </w:tc>
      </w:tr>
      <w:tr w14:paraId="1125E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9" w:hRule="atLeast"/>
          <w:jc w:val="center"/>
        </w:trPr>
        <w:tc>
          <w:tcPr>
            <w:tcW w:w="737" w:type="dxa"/>
            <w:vMerge w:val="continue"/>
            <w:noWrap w:val="0"/>
            <w:vAlign w:val="center"/>
          </w:tcPr>
          <w:p w14:paraId="1062644B">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475B9546">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2879EE2C">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楼层所有区域、房间和大楼各个会议室及其他公共场所</w:t>
            </w:r>
          </w:p>
        </w:tc>
        <w:tc>
          <w:tcPr>
            <w:tcW w:w="6053" w:type="dxa"/>
            <w:noWrap w:val="0"/>
            <w:vAlign w:val="center"/>
          </w:tcPr>
          <w:p w14:paraId="120DBB28">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1、每天对地面、办公桌椅、办公设备除尘去污。每次房间使用结束后及时清洁，墙、顶面保持整洁。地面干净无灰尘，椅子、茶几、烟缸等随时整理清洁。</w:t>
            </w:r>
          </w:p>
          <w:p w14:paraId="5919FB98">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2、保持公共场所各部位干净、整齐。外墙目视洁净、无污垢；表面、接缝、角落、边线等处洁净，无污迹、无积尘，平台、 屋顶无垃圾堆积；所有道路、停车位、草坪、绿化场地、垃圾箱、护栏每周要清理一次。</w:t>
            </w:r>
          </w:p>
        </w:tc>
      </w:tr>
      <w:tr w14:paraId="2D191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737" w:type="dxa"/>
            <w:vMerge w:val="continue"/>
            <w:noWrap w:val="0"/>
            <w:vAlign w:val="center"/>
          </w:tcPr>
          <w:p w14:paraId="33427757">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48D8DE61">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4F897162">
            <w:pPr>
              <w:pStyle w:val="522"/>
              <w:spacing w:line="360" w:lineRule="auto"/>
              <w:jc w:val="left"/>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消火栓、宣传栏、指示牌、信报箱等公用物品</w:t>
            </w:r>
          </w:p>
        </w:tc>
        <w:tc>
          <w:tcPr>
            <w:tcW w:w="6053" w:type="dxa"/>
            <w:noWrap w:val="0"/>
            <w:vAlign w:val="center"/>
          </w:tcPr>
          <w:p w14:paraId="13251ADE">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隔天至少擦抹一次，保持干净无灰尘、无污迹、光亮清洁。</w:t>
            </w:r>
          </w:p>
        </w:tc>
      </w:tr>
      <w:tr w14:paraId="25B54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0" w:hRule="atLeast"/>
          <w:jc w:val="center"/>
        </w:trPr>
        <w:tc>
          <w:tcPr>
            <w:tcW w:w="737" w:type="dxa"/>
            <w:vMerge w:val="restart"/>
            <w:noWrap w:val="0"/>
            <w:vAlign w:val="center"/>
          </w:tcPr>
          <w:p w14:paraId="3199FA3A">
            <w:pPr>
              <w:pStyle w:val="522"/>
              <w:spacing w:line="360" w:lineRule="auto"/>
              <w:jc w:val="center"/>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3</w:t>
            </w:r>
          </w:p>
        </w:tc>
        <w:tc>
          <w:tcPr>
            <w:tcW w:w="1185" w:type="dxa"/>
            <w:vMerge w:val="restart"/>
            <w:noWrap w:val="0"/>
            <w:vAlign w:val="center"/>
          </w:tcPr>
          <w:p w14:paraId="6FADC7CB">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办公楼外公共区域</w:t>
            </w:r>
          </w:p>
          <w:p w14:paraId="1FBF6DAB">
            <w:pPr>
              <w:pStyle w:val="522"/>
              <w:spacing w:line="360" w:lineRule="auto"/>
              <w:jc w:val="left"/>
              <w:rPr>
                <w:rFonts w:hint="eastAsia" w:ascii="方正仿宋_GB2312" w:hAnsi="方正仿宋_GB2312" w:eastAsia="方正仿宋_GB2312" w:cs="方正仿宋_GB2312"/>
                <w:color w:val="auto"/>
                <w:sz w:val="24"/>
                <w:szCs w:val="24"/>
                <w:lang w:val="en-US" w:eastAsia="zh-CN" w:bidi="ar-SA"/>
              </w:rPr>
            </w:pPr>
          </w:p>
          <w:p w14:paraId="614C9A07">
            <w:pPr>
              <w:pStyle w:val="522"/>
              <w:spacing w:line="360" w:lineRule="auto"/>
              <w:jc w:val="left"/>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70268761">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道路地面</w:t>
            </w:r>
          </w:p>
        </w:tc>
        <w:tc>
          <w:tcPr>
            <w:tcW w:w="6053" w:type="dxa"/>
            <w:noWrap w:val="0"/>
            <w:vAlign w:val="center"/>
          </w:tcPr>
          <w:p w14:paraId="0EE5FA0B">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门前广场及周边道路每天清扫保洁，清扫避开上、下班高峰时间进行，白天专人不间断循环保洁。目视道路干净无垃圾、杂物、浮砂，无污迹，无积水、积雪，无痰迹、烟头、纸屑。下雪后扫雪及时,地面无积雪。</w:t>
            </w:r>
          </w:p>
        </w:tc>
      </w:tr>
      <w:tr w14:paraId="79EFA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7" w:type="dxa"/>
            <w:vMerge w:val="continue"/>
            <w:noWrap w:val="0"/>
            <w:vAlign w:val="center"/>
          </w:tcPr>
          <w:p w14:paraId="0C878F05">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761CFE31">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1583FC5B">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垃圾箱（桶）、果皮箱</w:t>
            </w:r>
          </w:p>
        </w:tc>
        <w:tc>
          <w:tcPr>
            <w:tcW w:w="6053" w:type="dxa"/>
            <w:noWrap w:val="0"/>
            <w:vAlign w:val="center"/>
          </w:tcPr>
          <w:p w14:paraId="57B3451F">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按指定位置摆放，每天至少清理一次，并至少抹洗一次，桶身表面干净无污渍无痰迹，烟灰缸内烟头不应超过3个，垃圾不应超过2/3，内胆应定期清洁、消毒，周围地面干净整洁、无垃圾、无污迹、无异味。</w:t>
            </w:r>
          </w:p>
        </w:tc>
      </w:tr>
      <w:tr w14:paraId="2888E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jc w:val="center"/>
        </w:trPr>
        <w:tc>
          <w:tcPr>
            <w:tcW w:w="737" w:type="dxa"/>
            <w:vMerge w:val="continue"/>
            <w:noWrap w:val="0"/>
            <w:vAlign w:val="center"/>
          </w:tcPr>
          <w:p w14:paraId="2DFE1E70">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09946467">
            <w:pPr>
              <w:pStyle w:val="6"/>
              <w:spacing w:after="200" w:line="320" w:lineRule="exact"/>
              <w:ind w:firstLine="420"/>
              <w:jc w:val="center"/>
              <w:rPr>
                <w:rFonts w:hint="eastAsia" w:ascii="方正仿宋_GB2312" w:hAnsi="方正仿宋_GB2312" w:eastAsia="方正仿宋_GB2312" w:cs="方正仿宋_GB2312"/>
                <w:color w:val="auto"/>
                <w:sz w:val="24"/>
                <w:szCs w:val="24"/>
                <w:lang w:val="en-US" w:eastAsia="zh-CN" w:bidi="ar-SA"/>
              </w:rPr>
            </w:pPr>
          </w:p>
        </w:tc>
        <w:tc>
          <w:tcPr>
            <w:tcW w:w="1650" w:type="dxa"/>
            <w:noWrap w:val="0"/>
            <w:vAlign w:val="center"/>
          </w:tcPr>
          <w:p w14:paraId="315D92AD">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设备用房</w:t>
            </w:r>
          </w:p>
        </w:tc>
        <w:tc>
          <w:tcPr>
            <w:tcW w:w="6053" w:type="dxa"/>
            <w:noWrap w:val="0"/>
            <w:vAlign w:val="center"/>
          </w:tcPr>
          <w:p w14:paraId="626FF169">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每天清扫一次。设备机房、管道、指示牌无卫生死角、无垃圾堆积，无积尘、目视无蜘蛛网、无明显污渍、无水渍。</w:t>
            </w:r>
          </w:p>
        </w:tc>
      </w:tr>
      <w:tr w14:paraId="71CB8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737" w:type="dxa"/>
            <w:vMerge w:val="continue"/>
            <w:noWrap w:val="0"/>
            <w:vAlign w:val="center"/>
          </w:tcPr>
          <w:p w14:paraId="62511C36">
            <w:pPr>
              <w:pStyle w:val="522"/>
              <w:spacing w:line="360" w:lineRule="auto"/>
              <w:jc w:val="center"/>
              <w:rPr>
                <w:rFonts w:hint="default"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6890424E">
            <w:pPr>
              <w:pStyle w:val="6"/>
              <w:spacing w:after="200" w:line="320" w:lineRule="exact"/>
              <w:ind w:firstLine="420"/>
              <w:jc w:val="center"/>
              <w:rPr>
                <w:rFonts w:ascii="方正仿宋_GBK" w:hAnsi="方正仿宋_GBK" w:eastAsia="方正仿宋_GBK" w:cs="方正仿宋_GBK"/>
                <w:color w:val="auto"/>
                <w:sz w:val="24"/>
              </w:rPr>
            </w:pPr>
          </w:p>
        </w:tc>
        <w:tc>
          <w:tcPr>
            <w:tcW w:w="1650" w:type="dxa"/>
            <w:noWrap w:val="0"/>
            <w:vAlign w:val="center"/>
          </w:tcPr>
          <w:p w14:paraId="64014B1E">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停车场（机动车、非机动车停放处）</w:t>
            </w:r>
          </w:p>
        </w:tc>
        <w:tc>
          <w:tcPr>
            <w:tcW w:w="6053" w:type="dxa"/>
            <w:noWrap w:val="0"/>
            <w:vAlign w:val="center"/>
          </w:tcPr>
          <w:p w14:paraId="51F5503B">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每日清扫一次车库的垃圾和纸头；及时清除进出口的垃圾；发现油渍、污迹、锈迹，应及时擦洗干净，每周擦洗一次门窗、消防栓、指示牌、指示灯等公共设施；保持地面无垃圾、果皮、纸屑，无积水、无异味、空气疏通；标识、指示牌等公共设施目视无明显灰尘；墙面、管线无污迹、无积尘。</w:t>
            </w:r>
          </w:p>
        </w:tc>
      </w:tr>
      <w:tr w14:paraId="1C28F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37" w:type="dxa"/>
            <w:vMerge w:val="restart"/>
            <w:noWrap w:val="0"/>
            <w:vAlign w:val="center"/>
          </w:tcPr>
          <w:p w14:paraId="711EBD69">
            <w:pPr>
              <w:pStyle w:val="522"/>
              <w:spacing w:line="360" w:lineRule="auto"/>
              <w:jc w:val="center"/>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4</w:t>
            </w:r>
          </w:p>
        </w:tc>
        <w:tc>
          <w:tcPr>
            <w:tcW w:w="1185" w:type="dxa"/>
            <w:vMerge w:val="restart"/>
            <w:noWrap w:val="0"/>
            <w:vAlign w:val="center"/>
          </w:tcPr>
          <w:p w14:paraId="352899E6">
            <w:pPr>
              <w:pStyle w:val="6"/>
              <w:spacing w:after="200" w:line="320" w:lineRule="exact"/>
              <w:jc w:val="both"/>
              <w:rPr>
                <w:rFonts w:ascii="方正仿宋_GBK" w:hAnsi="方正仿宋_GBK" w:eastAsia="方正仿宋_GBK" w:cs="方正仿宋_GBK"/>
                <w:color w:val="auto"/>
                <w:sz w:val="24"/>
              </w:rPr>
            </w:pPr>
            <w:r>
              <w:rPr>
                <w:rFonts w:hint="eastAsia" w:ascii="仿宋" w:hAnsi="仿宋" w:eastAsia="仿宋" w:cs="仿宋"/>
                <w:b w:val="0"/>
                <w:bCs/>
                <w:color w:val="auto"/>
                <w:sz w:val="21"/>
                <w:szCs w:val="24"/>
                <w:highlight w:val="none"/>
                <w:rtl w:val="0"/>
                <w:lang w:val="en-US" w:eastAsia="zh-CN" w:bidi="ar-SA"/>
              </w:rPr>
              <w:t>卫生消毒</w:t>
            </w:r>
          </w:p>
        </w:tc>
        <w:tc>
          <w:tcPr>
            <w:tcW w:w="7703" w:type="dxa"/>
            <w:gridSpan w:val="2"/>
            <w:noWrap w:val="0"/>
            <w:vAlign w:val="center"/>
          </w:tcPr>
          <w:p w14:paraId="25AA805D">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sz w:val="21"/>
                <w:szCs w:val="21"/>
              </w:rPr>
              <w:t>（1）办公用房区域、公共场所区域和周围环境预防性卫生消毒，消毒后及时通风，每周至少开展1次作业。</w:t>
            </w:r>
          </w:p>
        </w:tc>
      </w:tr>
      <w:tr w14:paraId="66A9D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37" w:type="dxa"/>
            <w:vMerge w:val="continue"/>
            <w:noWrap w:val="0"/>
            <w:vAlign w:val="center"/>
          </w:tcPr>
          <w:p w14:paraId="4F50B75E">
            <w:pPr>
              <w:pStyle w:val="522"/>
              <w:spacing w:line="360" w:lineRule="auto"/>
              <w:jc w:val="left"/>
            </w:pPr>
          </w:p>
        </w:tc>
        <w:tc>
          <w:tcPr>
            <w:tcW w:w="1185" w:type="dxa"/>
            <w:vMerge w:val="continue"/>
            <w:noWrap w:val="0"/>
            <w:vAlign w:val="center"/>
          </w:tcPr>
          <w:p w14:paraId="7F24FD95">
            <w:pPr>
              <w:pStyle w:val="522"/>
              <w:spacing w:line="360" w:lineRule="auto"/>
              <w:jc w:val="left"/>
            </w:pPr>
          </w:p>
        </w:tc>
        <w:tc>
          <w:tcPr>
            <w:tcW w:w="7703" w:type="dxa"/>
            <w:gridSpan w:val="2"/>
            <w:noWrap w:val="0"/>
            <w:vAlign w:val="center"/>
          </w:tcPr>
          <w:p w14:paraId="76535E16">
            <w:pPr>
              <w:pStyle w:val="522"/>
              <w:spacing w:line="360" w:lineRule="auto"/>
              <w:jc w:val="left"/>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sz w:val="21"/>
                <w:szCs w:val="21"/>
              </w:rPr>
              <w:t>（2）采取综合措施消灭老鼠、蟑螂，控制室内外蚊虫孳生，达到基本无蝇，每季度至少开展1次作业。</w:t>
            </w:r>
          </w:p>
        </w:tc>
      </w:tr>
      <w:tr w14:paraId="3B956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37" w:type="dxa"/>
            <w:vMerge w:val="continue"/>
            <w:noWrap w:val="0"/>
            <w:vAlign w:val="center"/>
          </w:tcPr>
          <w:p w14:paraId="576655D2">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1185" w:type="dxa"/>
            <w:vMerge w:val="continue"/>
            <w:noWrap w:val="0"/>
            <w:vAlign w:val="center"/>
          </w:tcPr>
          <w:p w14:paraId="51BC9C2C">
            <w:pPr>
              <w:pStyle w:val="522"/>
              <w:spacing w:line="360" w:lineRule="auto"/>
              <w:jc w:val="left"/>
              <w:rPr>
                <w:rFonts w:hint="eastAsia" w:ascii="仿宋" w:hAnsi="仿宋" w:eastAsia="仿宋" w:cs="仿宋"/>
                <w:color w:val="auto"/>
                <w:sz w:val="21"/>
                <w:szCs w:val="24"/>
                <w:highlight w:val="none"/>
                <w:rtl w:val="0"/>
                <w:lang w:val="en-US" w:eastAsia="zh-CN" w:bidi="ar-SA"/>
              </w:rPr>
            </w:pPr>
          </w:p>
        </w:tc>
        <w:tc>
          <w:tcPr>
            <w:tcW w:w="7703" w:type="dxa"/>
            <w:gridSpan w:val="2"/>
            <w:shd w:val="clear" w:color="auto" w:fill="auto"/>
            <w:noWrap w:val="0"/>
            <w:vAlign w:val="center"/>
          </w:tcPr>
          <w:p w14:paraId="4E76C4DD">
            <w:pPr>
              <w:pageBreakBefore w:val="0"/>
              <w:widowControl/>
              <w:spacing w:line="360" w:lineRule="exact"/>
              <w:jc w:val="left"/>
              <w:rPr>
                <w:rFonts w:hint="eastAsia" w:ascii="仿宋" w:hAnsi="仿宋" w:eastAsia="仿宋" w:cs="仿宋"/>
                <w:sz w:val="21"/>
                <w:szCs w:val="21"/>
                <w:rtl w:val="0"/>
                <w:lang w:val="en-US" w:eastAsia="zh-CN" w:bidi="ar-SA"/>
              </w:rPr>
            </w:pPr>
            <w:r>
              <w:rPr>
                <w:rFonts w:hint="eastAsia" w:ascii="仿宋" w:hAnsi="仿宋" w:eastAsia="仿宋" w:cs="仿宋"/>
                <w:sz w:val="21"/>
                <w:szCs w:val="21"/>
              </w:rPr>
              <w:t>（3）发生公共卫生事件时，邀请专业单位开展消毒、检测等工作。</w:t>
            </w:r>
          </w:p>
        </w:tc>
      </w:tr>
    </w:tbl>
    <w:p w14:paraId="78C27AA1">
      <w:pPr>
        <w:pStyle w:val="329"/>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sz w:val="24"/>
          <w:szCs w:val="24"/>
          <w:highlight w:val="none"/>
          <w:lang w:val="en-US" w:eastAsia="zh-CN" w:bidi="zh-CN"/>
        </w:rPr>
      </w:pPr>
      <w:r>
        <w:rPr>
          <w:rFonts w:hint="eastAsia" w:ascii="方正仿宋_GB2312" w:hAnsi="方正仿宋_GB2312" w:eastAsia="方正仿宋_GB2312" w:cs="方正仿宋_GB2312"/>
          <w:b/>
          <w:bCs/>
          <w:color w:val="auto"/>
          <w:sz w:val="24"/>
          <w:szCs w:val="24"/>
          <w:lang w:val="en-US" w:eastAsia="zh-CN"/>
        </w:rPr>
        <w:t>注：</w:t>
      </w:r>
      <w:r>
        <w:rPr>
          <w:rFonts w:hint="eastAsia" w:ascii="仿宋" w:hAnsi="仿宋" w:eastAsia="仿宋" w:cs="仿宋"/>
          <w:sz w:val="24"/>
          <w:szCs w:val="24"/>
          <w:highlight w:val="none"/>
          <w:lang w:val="zh-CN" w:eastAsia="zh-CN" w:bidi="zh-CN"/>
        </w:rPr>
        <w:t>工作人员个人办公室内部不在保洁范围内</w:t>
      </w:r>
    </w:p>
    <w:p w14:paraId="06EC5286">
      <w:pPr>
        <w:pStyle w:val="189"/>
        <w:keepNext w:val="0"/>
        <w:keepLines w:val="0"/>
        <w:pageBreakBefore w:val="0"/>
        <w:widowControl w:val="0"/>
        <w:kinsoku/>
        <w:wordWrap/>
        <w:overflowPunct/>
        <w:topLinePunct w:val="0"/>
        <w:autoSpaceDE/>
        <w:autoSpaceDN/>
        <w:bidi w:val="0"/>
        <w:adjustRightInd/>
        <w:snapToGrid/>
        <w:spacing w:line="480" w:lineRule="exact"/>
        <w:ind w:firstLine="476"/>
        <w:textAlignment w:val="auto"/>
        <w:rPr>
          <w:rStyle w:val="42"/>
          <w:rFonts w:hint="eastAsia" w:ascii="仿宋" w:hAnsi="仿宋" w:eastAsia="仿宋" w:cs="仿宋"/>
          <w:color w:val="auto"/>
          <w:sz w:val="24"/>
          <w:szCs w:val="24"/>
          <w:lang w:val="en-US" w:eastAsia="zh-CN"/>
        </w:rPr>
      </w:pPr>
      <w:r>
        <w:rPr>
          <w:rFonts w:hint="eastAsia" w:ascii="仿宋" w:hAnsi="仿宋" w:eastAsia="仿宋" w:cs="仿宋"/>
          <w:b/>
          <w:sz w:val="24"/>
          <w:highlight w:val="none"/>
          <w:lang w:val="en-US" w:eastAsia="zh-CN"/>
        </w:rPr>
        <w:t>五、考核标准</w:t>
      </w:r>
    </w:p>
    <w:p w14:paraId="5DFF359C">
      <w:pPr>
        <w:pStyle w:val="518"/>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为进一步加强服务（以下简称“服务”）管理考核，不断提升服务水平，特制定本办法。</w:t>
      </w:r>
    </w:p>
    <w:p w14:paraId="64CA531C">
      <w:pPr>
        <w:pStyle w:val="518"/>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default"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一、考核对象</w:t>
      </w:r>
    </w:p>
    <w:p w14:paraId="2BD267D2">
      <w:pPr>
        <w:pStyle w:val="518"/>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泗洪县政务服务中心保洁服务采购项目服务商。</w:t>
      </w:r>
    </w:p>
    <w:p w14:paraId="56BDE9CE">
      <w:pPr>
        <w:pStyle w:val="518"/>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二、考核方式</w:t>
      </w:r>
    </w:p>
    <w:p w14:paraId="09061F2D">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en-US" w:eastAsia="zh-CN" w:bidi="zh-CN"/>
        </w:rPr>
        <w:t>采购人对乙方已开展的服务情况进行日常考核管理，每月汇总一次。</w:t>
      </w:r>
    </w:p>
    <w:p w14:paraId="1CAC0CA8">
      <w:pPr>
        <w:pStyle w:val="518"/>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三、结果应用</w:t>
      </w:r>
    </w:p>
    <w:p w14:paraId="1A0B4988">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每次付款前依据考核标准，每月根据考核结果据实支付。考核分总分 100 分，按照考核办法进行评分，最后得分作为付款依据。</w:t>
      </w:r>
    </w:p>
    <w:p w14:paraId="64F5D7E5">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甲方有权利对乙方在甲方派驻的保洁人员管理、卫生状况随时进行抽查，抽查时发现卫生不达标或未履行乙方责任和义务。</w:t>
      </w:r>
    </w:p>
    <w:p w14:paraId="6FD3A397">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1.抽查中，每发现一处卫生不达标或每一次未履行保洁服务公司责任和义务或服务标准，扣 1 分，扣除服务费 20 元。</w:t>
      </w:r>
    </w:p>
    <w:p w14:paraId="2C9E38C9">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2.保洁员负责区域卫生未履行责任和义务当月累计扣 3 分及以上者，甲方有权要求乙方更换保洁人员并扣除保洁人员缺岗费用。</w:t>
      </w:r>
    </w:p>
    <w:p w14:paraId="2837B2E0">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3.当月累计扣 8 分及以上，甲方有权扣除当月合同金额 5%且有权利解除服务合同。</w:t>
      </w:r>
    </w:p>
    <w:p w14:paraId="42A6FA37">
      <w:pPr>
        <w:pStyle w:val="32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4.每季度累计 21 分及以上，甲方有权扣除每季度合同总金额 5%且有权解除服务合同。</w:t>
      </w:r>
    </w:p>
    <w:p w14:paraId="73144ACF">
      <w:pPr>
        <w:pStyle w:val="329"/>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en-US" w:eastAsia="zh-CN" w:bidi="zh-CN"/>
        </w:rPr>
        <w:t>5.每年度累计 50 分及以上，甲方有权扣除年度合同总金额 5%且有权解除服务合同。</w:t>
      </w:r>
      <w:r>
        <w:rPr>
          <w:rFonts w:hint="eastAsia" w:ascii="仿宋" w:hAnsi="仿宋" w:eastAsia="仿宋" w:cs="仿宋"/>
          <w:b/>
          <w:bCs/>
          <w:sz w:val="24"/>
          <w:szCs w:val="24"/>
          <w:highlight w:val="none"/>
          <w:lang w:val="zh-CN" w:eastAsia="zh-CN" w:bidi="zh-CN"/>
        </w:rPr>
        <w:t>考核项如下：</w:t>
      </w:r>
    </w:p>
    <w:tbl>
      <w:tblPr>
        <w:tblStyle w:val="40"/>
        <w:tblpPr w:leftFromText="180" w:rightFromText="180" w:vertAnchor="text" w:horzAnchor="page" w:tblpXSpec="center" w:tblpY="298"/>
        <w:tblW w:w="94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1"/>
        <w:gridCol w:w="2150"/>
        <w:gridCol w:w="2617"/>
        <w:gridCol w:w="2220"/>
        <w:gridCol w:w="1471"/>
      </w:tblGrid>
      <w:tr w14:paraId="3F21E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jc w:val="center"/>
        </w:trPr>
        <w:tc>
          <w:tcPr>
            <w:tcW w:w="981" w:type="dxa"/>
            <w:noWrap w:val="0"/>
            <w:vAlign w:val="center"/>
          </w:tcPr>
          <w:p w14:paraId="045B0E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区域</w:t>
            </w:r>
          </w:p>
        </w:tc>
        <w:tc>
          <w:tcPr>
            <w:tcW w:w="2150" w:type="dxa"/>
            <w:noWrap w:val="0"/>
            <w:vAlign w:val="center"/>
          </w:tcPr>
          <w:p w14:paraId="197246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内容</w:t>
            </w:r>
          </w:p>
        </w:tc>
        <w:tc>
          <w:tcPr>
            <w:tcW w:w="2617" w:type="dxa"/>
            <w:noWrap w:val="0"/>
            <w:vAlign w:val="center"/>
          </w:tcPr>
          <w:p w14:paraId="7A6E10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考核</w:t>
            </w:r>
            <w:r>
              <w:rPr>
                <w:rFonts w:hint="eastAsia" w:ascii="仿宋" w:hAnsi="仿宋" w:eastAsia="仿宋" w:cs="仿宋"/>
                <w:b/>
                <w:bCs/>
                <w:sz w:val="24"/>
                <w:szCs w:val="24"/>
                <w:highlight w:val="none"/>
              </w:rPr>
              <w:t>标准</w:t>
            </w:r>
          </w:p>
        </w:tc>
        <w:tc>
          <w:tcPr>
            <w:tcW w:w="2220" w:type="dxa"/>
            <w:noWrap w:val="0"/>
            <w:vAlign w:val="center"/>
          </w:tcPr>
          <w:p w14:paraId="7DAFE0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检查频率</w:t>
            </w:r>
          </w:p>
        </w:tc>
        <w:tc>
          <w:tcPr>
            <w:tcW w:w="1471" w:type="dxa"/>
            <w:noWrap w:val="0"/>
            <w:vAlign w:val="center"/>
          </w:tcPr>
          <w:p w14:paraId="461E06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扣分标准</w:t>
            </w:r>
          </w:p>
        </w:tc>
      </w:tr>
      <w:tr w14:paraId="1F368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jc w:val="center"/>
        </w:trPr>
        <w:tc>
          <w:tcPr>
            <w:tcW w:w="981" w:type="dxa"/>
            <w:vMerge w:val="restart"/>
            <w:tcBorders>
              <w:bottom w:val="nil"/>
            </w:tcBorders>
            <w:noWrap w:val="0"/>
            <w:vAlign w:val="center"/>
          </w:tcPr>
          <w:p w14:paraId="5CA15FC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垃圾回</w:t>
            </w:r>
          </w:p>
          <w:p w14:paraId="6054EB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收点</w:t>
            </w:r>
          </w:p>
        </w:tc>
        <w:tc>
          <w:tcPr>
            <w:tcW w:w="2150" w:type="dxa"/>
            <w:noWrap w:val="0"/>
            <w:vAlign w:val="center"/>
          </w:tcPr>
          <w:p w14:paraId="7E8F13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旋转垃圾回收桶一个</w:t>
            </w:r>
          </w:p>
        </w:tc>
        <w:tc>
          <w:tcPr>
            <w:tcW w:w="2617" w:type="dxa"/>
            <w:noWrap w:val="0"/>
            <w:vAlign w:val="center"/>
          </w:tcPr>
          <w:p w14:paraId="18AEE2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洁净无污迹</w:t>
            </w:r>
          </w:p>
        </w:tc>
        <w:tc>
          <w:tcPr>
            <w:tcW w:w="2220" w:type="dxa"/>
            <w:noWrap w:val="0"/>
            <w:vAlign w:val="center"/>
          </w:tcPr>
          <w:p w14:paraId="3FB628C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30C0C3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7717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81" w:type="dxa"/>
            <w:vMerge w:val="continue"/>
            <w:tcBorders>
              <w:top w:val="nil"/>
            </w:tcBorders>
            <w:noWrap w:val="0"/>
            <w:vAlign w:val="center"/>
          </w:tcPr>
          <w:p w14:paraId="4B46CAD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19B62C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0FFB4E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778EE1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5A99AD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C9858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981" w:type="dxa"/>
            <w:vMerge w:val="restart"/>
            <w:tcBorders>
              <w:bottom w:val="nil"/>
            </w:tcBorders>
            <w:noWrap w:val="0"/>
            <w:vAlign w:val="center"/>
          </w:tcPr>
          <w:p w14:paraId="0DCB15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p w14:paraId="63BD9C2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p w14:paraId="617D64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p w14:paraId="441AFE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p w14:paraId="6375780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公共通道</w:t>
            </w:r>
          </w:p>
        </w:tc>
        <w:tc>
          <w:tcPr>
            <w:tcW w:w="2150" w:type="dxa"/>
            <w:noWrap w:val="0"/>
            <w:vAlign w:val="center"/>
          </w:tcPr>
          <w:p w14:paraId="3BAA93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地面污迹、边角清洁</w:t>
            </w:r>
          </w:p>
        </w:tc>
        <w:tc>
          <w:tcPr>
            <w:tcW w:w="2617" w:type="dxa"/>
            <w:noWrap w:val="0"/>
            <w:vAlign w:val="center"/>
          </w:tcPr>
          <w:p w14:paraId="63250E0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干爽 无垃圾杂物</w:t>
            </w:r>
          </w:p>
        </w:tc>
        <w:tc>
          <w:tcPr>
            <w:tcW w:w="2220" w:type="dxa"/>
            <w:noWrap w:val="0"/>
            <w:vAlign w:val="center"/>
          </w:tcPr>
          <w:p w14:paraId="34AAB2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4091720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7AB7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981" w:type="dxa"/>
            <w:vMerge w:val="continue"/>
            <w:tcBorders>
              <w:top w:val="nil"/>
              <w:bottom w:val="nil"/>
            </w:tcBorders>
            <w:noWrap w:val="0"/>
            <w:vAlign w:val="center"/>
          </w:tcPr>
          <w:p w14:paraId="0576598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28081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设施、墙面无污迹、积灰及蛛网</w:t>
            </w:r>
          </w:p>
        </w:tc>
        <w:tc>
          <w:tcPr>
            <w:tcW w:w="2617" w:type="dxa"/>
            <w:noWrap w:val="0"/>
            <w:vAlign w:val="center"/>
          </w:tcPr>
          <w:p w14:paraId="0A8066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4C2633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1BC23D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3536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jc w:val="center"/>
        </w:trPr>
        <w:tc>
          <w:tcPr>
            <w:tcW w:w="981" w:type="dxa"/>
            <w:vMerge w:val="continue"/>
            <w:tcBorders>
              <w:top w:val="nil"/>
              <w:bottom w:val="nil"/>
            </w:tcBorders>
            <w:noWrap w:val="0"/>
            <w:vAlign w:val="center"/>
          </w:tcPr>
          <w:p w14:paraId="36161D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E6240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墙面挂件、指示牌、天花板清洁</w:t>
            </w:r>
          </w:p>
        </w:tc>
        <w:tc>
          <w:tcPr>
            <w:tcW w:w="2617" w:type="dxa"/>
            <w:noWrap w:val="0"/>
            <w:vAlign w:val="center"/>
          </w:tcPr>
          <w:p w14:paraId="67F7D3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506BB6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35D2C78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1F09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jc w:val="center"/>
        </w:trPr>
        <w:tc>
          <w:tcPr>
            <w:tcW w:w="981" w:type="dxa"/>
            <w:vMerge w:val="continue"/>
            <w:tcBorders>
              <w:top w:val="nil"/>
              <w:bottom w:val="nil"/>
            </w:tcBorders>
            <w:noWrap w:val="0"/>
            <w:vAlign w:val="center"/>
          </w:tcPr>
          <w:p w14:paraId="6ECF97C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05C344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玻璃及窗台、窗槽的清洁</w:t>
            </w:r>
          </w:p>
        </w:tc>
        <w:tc>
          <w:tcPr>
            <w:tcW w:w="2617" w:type="dxa"/>
            <w:noWrap w:val="0"/>
            <w:vAlign w:val="center"/>
          </w:tcPr>
          <w:p w14:paraId="5E54FCB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 无污迹手印</w:t>
            </w:r>
          </w:p>
        </w:tc>
        <w:tc>
          <w:tcPr>
            <w:tcW w:w="2220" w:type="dxa"/>
            <w:noWrap w:val="0"/>
            <w:vAlign w:val="center"/>
          </w:tcPr>
          <w:p w14:paraId="00934F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21EC4F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31C8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jc w:val="center"/>
        </w:trPr>
        <w:tc>
          <w:tcPr>
            <w:tcW w:w="981" w:type="dxa"/>
            <w:vMerge w:val="continue"/>
            <w:tcBorders>
              <w:top w:val="nil"/>
            </w:tcBorders>
            <w:noWrap w:val="0"/>
            <w:vAlign w:val="center"/>
          </w:tcPr>
          <w:p w14:paraId="51CEC2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E925E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362DA8E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74F5E5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1C2515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69446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jc w:val="center"/>
        </w:trPr>
        <w:tc>
          <w:tcPr>
            <w:tcW w:w="981" w:type="dxa"/>
            <w:vMerge w:val="restart"/>
            <w:noWrap w:val="0"/>
            <w:vAlign w:val="center"/>
          </w:tcPr>
          <w:p w14:paraId="20001A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开水间、污洗间</w:t>
            </w:r>
          </w:p>
        </w:tc>
        <w:tc>
          <w:tcPr>
            <w:tcW w:w="2150" w:type="dxa"/>
            <w:noWrap w:val="0"/>
            <w:vAlign w:val="center"/>
          </w:tcPr>
          <w:p w14:paraId="429F30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保洁工具的晾挂及摆放</w:t>
            </w:r>
          </w:p>
        </w:tc>
        <w:tc>
          <w:tcPr>
            <w:tcW w:w="2617" w:type="dxa"/>
            <w:noWrap w:val="0"/>
            <w:vAlign w:val="center"/>
          </w:tcPr>
          <w:p w14:paraId="6DD662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清洁干净 分区域晾挂</w:t>
            </w:r>
          </w:p>
        </w:tc>
        <w:tc>
          <w:tcPr>
            <w:tcW w:w="2220" w:type="dxa"/>
            <w:noWrap w:val="0"/>
            <w:vAlign w:val="center"/>
          </w:tcPr>
          <w:p w14:paraId="37D32B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563B8B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D8C8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jc w:val="center"/>
        </w:trPr>
        <w:tc>
          <w:tcPr>
            <w:tcW w:w="981" w:type="dxa"/>
            <w:vMerge w:val="continue"/>
            <w:noWrap w:val="0"/>
            <w:vAlign w:val="center"/>
          </w:tcPr>
          <w:p w14:paraId="1CFE24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B7224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墙面、天花清洁</w:t>
            </w:r>
          </w:p>
        </w:tc>
        <w:tc>
          <w:tcPr>
            <w:tcW w:w="2617" w:type="dxa"/>
            <w:noWrap w:val="0"/>
            <w:vAlign w:val="center"/>
          </w:tcPr>
          <w:p w14:paraId="1F46DC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6D5C66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50E11F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0D8A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981" w:type="dxa"/>
            <w:vMerge w:val="continue"/>
            <w:noWrap w:val="0"/>
            <w:vAlign w:val="center"/>
          </w:tcPr>
          <w:p w14:paraId="1A5D170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0897F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开水炉内外及放置点清洁</w:t>
            </w:r>
          </w:p>
        </w:tc>
        <w:tc>
          <w:tcPr>
            <w:tcW w:w="2617" w:type="dxa"/>
            <w:noWrap w:val="0"/>
            <w:vAlign w:val="center"/>
          </w:tcPr>
          <w:p w14:paraId="0E153CC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无死角  无积灰</w:t>
            </w:r>
          </w:p>
        </w:tc>
        <w:tc>
          <w:tcPr>
            <w:tcW w:w="2220" w:type="dxa"/>
            <w:noWrap w:val="0"/>
            <w:vAlign w:val="center"/>
          </w:tcPr>
          <w:p w14:paraId="7E6D7A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365619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AFD6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981" w:type="dxa"/>
            <w:vMerge w:val="continue"/>
            <w:noWrap w:val="0"/>
            <w:vAlign w:val="center"/>
          </w:tcPr>
          <w:p w14:paraId="068D01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65D50A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地面及边角、各种柜内外及顶部的清洁</w:t>
            </w:r>
          </w:p>
        </w:tc>
        <w:tc>
          <w:tcPr>
            <w:tcW w:w="2617" w:type="dxa"/>
            <w:noWrap w:val="0"/>
            <w:vAlign w:val="center"/>
          </w:tcPr>
          <w:p w14:paraId="493C3BD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光亮 无污渍</w:t>
            </w:r>
          </w:p>
        </w:tc>
        <w:tc>
          <w:tcPr>
            <w:tcW w:w="2220" w:type="dxa"/>
            <w:noWrap w:val="0"/>
            <w:vAlign w:val="center"/>
          </w:tcPr>
          <w:p w14:paraId="4465AB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79047E1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2E3177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981" w:type="dxa"/>
            <w:vMerge w:val="continue"/>
            <w:noWrap w:val="0"/>
            <w:vAlign w:val="center"/>
          </w:tcPr>
          <w:p w14:paraId="7266FA0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0C04E38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水池、水槽、龙头清洁</w:t>
            </w:r>
          </w:p>
        </w:tc>
        <w:tc>
          <w:tcPr>
            <w:tcW w:w="2617" w:type="dxa"/>
            <w:noWrap w:val="0"/>
            <w:vAlign w:val="center"/>
          </w:tcPr>
          <w:p w14:paraId="31E1228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无垃圾 无灰尘 无污渍</w:t>
            </w:r>
          </w:p>
        </w:tc>
        <w:tc>
          <w:tcPr>
            <w:tcW w:w="2220" w:type="dxa"/>
            <w:noWrap w:val="0"/>
            <w:vAlign w:val="center"/>
          </w:tcPr>
          <w:p w14:paraId="1351734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72E110E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D15E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jc w:val="center"/>
        </w:trPr>
        <w:tc>
          <w:tcPr>
            <w:tcW w:w="981" w:type="dxa"/>
            <w:vMerge w:val="continue"/>
            <w:noWrap w:val="0"/>
            <w:vAlign w:val="center"/>
          </w:tcPr>
          <w:p w14:paraId="331F442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9B79D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湿拖地面随时巡视保洁保持地面干爽</w:t>
            </w:r>
          </w:p>
        </w:tc>
        <w:tc>
          <w:tcPr>
            <w:tcW w:w="2617" w:type="dxa"/>
            <w:noWrap w:val="0"/>
            <w:vAlign w:val="center"/>
          </w:tcPr>
          <w:p w14:paraId="2E09CEE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无垃圾 无灰尘  无污迹 无水迹</w:t>
            </w:r>
          </w:p>
        </w:tc>
        <w:tc>
          <w:tcPr>
            <w:tcW w:w="2220" w:type="dxa"/>
            <w:noWrap w:val="0"/>
            <w:vAlign w:val="center"/>
          </w:tcPr>
          <w:p w14:paraId="125586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随时</w:t>
            </w:r>
          </w:p>
        </w:tc>
        <w:tc>
          <w:tcPr>
            <w:tcW w:w="1471" w:type="dxa"/>
            <w:noWrap w:val="0"/>
            <w:vAlign w:val="center"/>
          </w:tcPr>
          <w:p w14:paraId="2F9872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FC17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jc w:val="center"/>
        </w:trPr>
        <w:tc>
          <w:tcPr>
            <w:tcW w:w="981" w:type="dxa"/>
            <w:vMerge w:val="continue"/>
            <w:noWrap w:val="0"/>
            <w:vAlign w:val="center"/>
          </w:tcPr>
          <w:p w14:paraId="4CBF757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7C1D40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42E7246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3F036F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495CE6C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D32C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981" w:type="dxa"/>
            <w:vMerge w:val="restart"/>
            <w:tcBorders>
              <w:bottom w:val="nil"/>
            </w:tcBorders>
            <w:noWrap w:val="0"/>
            <w:vAlign w:val="center"/>
          </w:tcPr>
          <w:p w14:paraId="735757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公共卫生间</w:t>
            </w:r>
          </w:p>
        </w:tc>
        <w:tc>
          <w:tcPr>
            <w:tcW w:w="2150" w:type="dxa"/>
            <w:noWrap w:val="0"/>
            <w:vAlign w:val="center"/>
          </w:tcPr>
          <w:p w14:paraId="3FDDA5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镜面、台盆、台面、水龙头</w:t>
            </w:r>
          </w:p>
        </w:tc>
        <w:tc>
          <w:tcPr>
            <w:tcW w:w="2617" w:type="dxa"/>
            <w:noWrap w:val="0"/>
            <w:vAlign w:val="center"/>
          </w:tcPr>
          <w:p w14:paraId="52B43E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无死角  无积灰</w:t>
            </w:r>
          </w:p>
        </w:tc>
        <w:tc>
          <w:tcPr>
            <w:tcW w:w="2220" w:type="dxa"/>
            <w:noWrap w:val="0"/>
            <w:vAlign w:val="center"/>
          </w:tcPr>
          <w:p w14:paraId="3A6B69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67C83A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DB7A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jc w:val="center"/>
        </w:trPr>
        <w:tc>
          <w:tcPr>
            <w:tcW w:w="981" w:type="dxa"/>
            <w:vMerge w:val="continue"/>
            <w:tcBorders>
              <w:top w:val="nil"/>
              <w:bottom w:val="nil"/>
            </w:tcBorders>
            <w:noWrap w:val="0"/>
            <w:vAlign w:val="center"/>
          </w:tcPr>
          <w:p w14:paraId="4B98F8D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8ED74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马桶、蹲坑内外及台阶立面的清洁消毒</w:t>
            </w:r>
          </w:p>
        </w:tc>
        <w:tc>
          <w:tcPr>
            <w:tcW w:w="2617" w:type="dxa"/>
            <w:noWrap w:val="0"/>
            <w:vAlign w:val="center"/>
          </w:tcPr>
          <w:p w14:paraId="5826B0E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光亮 无尿渍 无异味</w:t>
            </w:r>
          </w:p>
        </w:tc>
        <w:tc>
          <w:tcPr>
            <w:tcW w:w="2220" w:type="dxa"/>
            <w:noWrap w:val="0"/>
            <w:vAlign w:val="center"/>
          </w:tcPr>
          <w:p w14:paraId="109812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3D2B66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6BBF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jc w:val="center"/>
        </w:trPr>
        <w:tc>
          <w:tcPr>
            <w:tcW w:w="981" w:type="dxa"/>
            <w:vMerge w:val="continue"/>
            <w:tcBorders>
              <w:top w:val="nil"/>
              <w:bottom w:val="nil"/>
            </w:tcBorders>
            <w:noWrap w:val="0"/>
            <w:vAlign w:val="center"/>
          </w:tcPr>
          <w:p w14:paraId="116A1D0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5A461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隔板顶部及侧面清洁</w:t>
            </w:r>
          </w:p>
        </w:tc>
        <w:tc>
          <w:tcPr>
            <w:tcW w:w="2617" w:type="dxa"/>
            <w:noWrap w:val="0"/>
            <w:vAlign w:val="center"/>
          </w:tcPr>
          <w:p w14:paraId="37407A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无积灰  无污迹</w:t>
            </w:r>
          </w:p>
        </w:tc>
        <w:tc>
          <w:tcPr>
            <w:tcW w:w="2220" w:type="dxa"/>
            <w:noWrap w:val="0"/>
            <w:vAlign w:val="center"/>
          </w:tcPr>
          <w:p w14:paraId="399FCA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317C93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3B89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981" w:type="dxa"/>
            <w:vMerge w:val="continue"/>
            <w:tcBorders>
              <w:top w:val="nil"/>
              <w:bottom w:val="nil"/>
            </w:tcBorders>
            <w:noWrap w:val="0"/>
            <w:vAlign w:val="center"/>
          </w:tcPr>
          <w:p w14:paraId="6883A81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256F59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冲水开关周围墙面及地面的清洁</w:t>
            </w:r>
          </w:p>
        </w:tc>
        <w:tc>
          <w:tcPr>
            <w:tcW w:w="2617" w:type="dxa"/>
            <w:noWrap w:val="0"/>
            <w:vAlign w:val="center"/>
          </w:tcPr>
          <w:p w14:paraId="76CF9F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开关光亮 地面边角无污迹</w:t>
            </w:r>
          </w:p>
        </w:tc>
        <w:tc>
          <w:tcPr>
            <w:tcW w:w="2220" w:type="dxa"/>
            <w:noWrap w:val="0"/>
            <w:vAlign w:val="center"/>
          </w:tcPr>
          <w:p w14:paraId="3005E4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53A54B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B501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981" w:type="dxa"/>
            <w:vMerge w:val="continue"/>
            <w:tcBorders>
              <w:top w:val="nil"/>
              <w:bottom w:val="nil"/>
            </w:tcBorders>
            <w:noWrap w:val="0"/>
            <w:vAlign w:val="center"/>
          </w:tcPr>
          <w:p w14:paraId="53374B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4DC943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男小便斗内外及底部的清洁</w:t>
            </w:r>
          </w:p>
        </w:tc>
        <w:tc>
          <w:tcPr>
            <w:tcW w:w="2617" w:type="dxa"/>
            <w:noWrap w:val="0"/>
            <w:vAlign w:val="center"/>
          </w:tcPr>
          <w:p w14:paraId="368C179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 内外无尿碱 无异味</w:t>
            </w:r>
          </w:p>
        </w:tc>
        <w:tc>
          <w:tcPr>
            <w:tcW w:w="2220" w:type="dxa"/>
            <w:noWrap w:val="0"/>
            <w:vAlign w:val="center"/>
          </w:tcPr>
          <w:p w14:paraId="3FD45F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24F82B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596E7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jc w:val="center"/>
        </w:trPr>
        <w:tc>
          <w:tcPr>
            <w:tcW w:w="981" w:type="dxa"/>
            <w:vMerge w:val="continue"/>
            <w:tcBorders>
              <w:top w:val="nil"/>
              <w:bottom w:val="nil"/>
            </w:tcBorders>
            <w:noWrap w:val="0"/>
            <w:vAlign w:val="center"/>
          </w:tcPr>
          <w:p w14:paraId="11E70D0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7C6E0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巡视表单规范记录</w:t>
            </w:r>
          </w:p>
        </w:tc>
        <w:tc>
          <w:tcPr>
            <w:tcW w:w="2617" w:type="dxa"/>
            <w:noWrap w:val="0"/>
            <w:vAlign w:val="center"/>
          </w:tcPr>
          <w:p w14:paraId="209F93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按巡视频次规范记录或者使用私</w:t>
            </w:r>
          </w:p>
          <w:p w14:paraId="04651D8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人印章（无书写能力者）</w:t>
            </w:r>
          </w:p>
        </w:tc>
        <w:tc>
          <w:tcPr>
            <w:tcW w:w="2220" w:type="dxa"/>
            <w:noWrap w:val="0"/>
            <w:vAlign w:val="center"/>
          </w:tcPr>
          <w:p w14:paraId="5A0F0F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按频次记录</w:t>
            </w:r>
          </w:p>
        </w:tc>
        <w:tc>
          <w:tcPr>
            <w:tcW w:w="1471" w:type="dxa"/>
            <w:noWrap w:val="0"/>
            <w:vAlign w:val="center"/>
          </w:tcPr>
          <w:p w14:paraId="47663A9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C59F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981" w:type="dxa"/>
            <w:vMerge w:val="continue"/>
            <w:tcBorders>
              <w:top w:val="nil"/>
              <w:bottom w:val="nil"/>
            </w:tcBorders>
            <w:noWrap w:val="0"/>
            <w:vAlign w:val="center"/>
          </w:tcPr>
          <w:p w14:paraId="7415ECB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6405F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12D3868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05D0C6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530534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3D68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jc w:val="center"/>
        </w:trPr>
        <w:tc>
          <w:tcPr>
            <w:tcW w:w="981" w:type="dxa"/>
            <w:vMerge w:val="continue"/>
            <w:tcBorders>
              <w:top w:val="nil"/>
              <w:bottom w:val="nil"/>
            </w:tcBorders>
            <w:noWrap w:val="0"/>
            <w:vAlign w:val="center"/>
          </w:tcPr>
          <w:p w14:paraId="2BE6BAA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2FFAF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湿拖地面</w:t>
            </w:r>
          </w:p>
        </w:tc>
        <w:tc>
          <w:tcPr>
            <w:tcW w:w="2617" w:type="dxa"/>
            <w:noWrap w:val="0"/>
            <w:vAlign w:val="center"/>
          </w:tcPr>
          <w:p w14:paraId="052C57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无垃圾 无灰尘  无污迹 无水迹</w:t>
            </w:r>
          </w:p>
        </w:tc>
        <w:tc>
          <w:tcPr>
            <w:tcW w:w="2220" w:type="dxa"/>
            <w:noWrap w:val="0"/>
            <w:vAlign w:val="center"/>
          </w:tcPr>
          <w:p w14:paraId="641446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6B67BB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8811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981" w:type="dxa"/>
            <w:vMerge w:val="continue"/>
            <w:tcBorders>
              <w:top w:val="nil"/>
            </w:tcBorders>
            <w:noWrap w:val="0"/>
            <w:vAlign w:val="center"/>
          </w:tcPr>
          <w:p w14:paraId="517554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1FEEB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4EB168F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 不滴漏  不满不溢</w:t>
            </w:r>
          </w:p>
        </w:tc>
        <w:tc>
          <w:tcPr>
            <w:tcW w:w="2220" w:type="dxa"/>
            <w:noWrap w:val="0"/>
            <w:vAlign w:val="center"/>
          </w:tcPr>
          <w:p w14:paraId="1A38A95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3FB14EA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2E274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981" w:type="dxa"/>
            <w:vMerge w:val="restart"/>
            <w:tcBorders>
              <w:bottom w:val="nil"/>
            </w:tcBorders>
            <w:noWrap w:val="0"/>
            <w:vAlign w:val="center"/>
          </w:tcPr>
          <w:p w14:paraId="7C6B38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电梯</w:t>
            </w:r>
          </w:p>
        </w:tc>
        <w:tc>
          <w:tcPr>
            <w:tcW w:w="2150" w:type="dxa"/>
            <w:noWrap w:val="0"/>
            <w:vAlign w:val="center"/>
          </w:tcPr>
          <w:p w14:paraId="709B35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不锈钢物体表面保养（门套、护栏、扶手）</w:t>
            </w:r>
          </w:p>
        </w:tc>
        <w:tc>
          <w:tcPr>
            <w:tcW w:w="2617" w:type="dxa"/>
            <w:noWrap w:val="0"/>
            <w:vAlign w:val="center"/>
          </w:tcPr>
          <w:p w14:paraId="069940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 无污迹 无手印 无灰尘</w:t>
            </w:r>
          </w:p>
        </w:tc>
        <w:tc>
          <w:tcPr>
            <w:tcW w:w="2220" w:type="dxa"/>
            <w:noWrap w:val="0"/>
            <w:vAlign w:val="center"/>
          </w:tcPr>
          <w:p w14:paraId="22A816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每天清洁不少于1次；不锈钢油保养每周不少于 1</w:t>
            </w:r>
          </w:p>
        </w:tc>
        <w:tc>
          <w:tcPr>
            <w:tcW w:w="1471" w:type="dxa"/>
            <w:noWrap w:val="0"/>
            <w:vAlign w:val="center"/>
          </w:tcPr>
          <w:p w14:paraId="2A3164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508D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jc w:val="center"/>
        </w:trPr>
        <w:tc>
          <w:tcPr>
            <w:tcW w:w="981" w:type="dxa"/>
            <w:vMerge w:val="continue"/>
            <w:tcBorders>
              <w:top w:val="nil"/>
            </w:tcBorders>
            <w:noWrap w:val="0"/>
            <w:vAlign w:val="center"/>
          </w:tcPr>
          <w:p w14:paraId="3F0BCF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F5124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电梯轿厢</w:t>
            </w:r>
          </w:p>
        </w:tc>
        <w:tc>
          <w:tcPr>
            <w:tcW w:w="2617" w:type="dxa"/>
            <w:noWrap w:val="0"/>
            <w:vAlign w:val="center"/>
          </w:tcPr>
          <w:p w14:paraId="73DE6CA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无果壳、纸屑等杂物，无污渍、</w:t>
            </w:r>
          </w:p>
          <w:p w14:paraId="646CB90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无灰尘、手印、鞋印、表面光亮。</w:t>
            </w:r>
          </w:p>
        </w:tc>
        <w:tc>
          <w:tcPr>
            <w:tcW w:w="2220" w:type="dxa"/>
            <w:noWrap w:val="0"/>
            <w:vAlign w:val="center"/>
          </w:tcPr>
          <w:p w14:paraId="7AA7D1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对轿厢内外清洁，保持电 梯门、内壁、内槽、地面 无污迹、无杂物、无违章 张贴、无灰尘。2 次/日； 对轿厢内外进行保养 1 次 /日；消毒 2 次/日（早晚 各一次）；轿厢内壁每周用专用优质不锈钢油养护，保持轿门、内壁光亮，无水印、指印、油渍。安全 运行维护保养。每天进行电梯部件的检查、维护保养。</w:t>
            </w:r>
          </w:p>
        </w:tc>
        <w:tc>
          <w:tcPr>
            <w:tcW w:w="1471" w:type="dxa"/>
            <w:noWrap w:val="0"/>
            <w:vAlign w:val="center"/>
          </w:tcPr>
          <w:p w14:paraId="609479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8FDF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jc w:val="center"/>
        </w:trPr>
        <w:tc>
          <w:tcPr>
            <w:tcW w:w="981" w:type="dxa"/>
            <w:vMerge w:val="restart"/>
            <w:tcBorders>
              <w:bottom w:val="nil"/>
            </w:tcBorders>
            <w:noWrap w:val="0"/>
            <w:vAlign w:val="center"/>
          </w:tcPr>
          <w:p w14:paraId="37C302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其他</w:t>
            </w:r>
          </w:p>
        </w:tc>
        <w:tc>
          <w:tcPr>
            <w:tcW w:w="2150" w:type="dxa"/>
            <w:noWrap w:val="0"/>
            <w:vAlign w:val="center"/>
          </w:tcPr>
          <w:p w14:paraId="04137C8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消栓、消防器材的擦拭</w:t>
            </w:r>
          </w:p>
        </w:tc>
        <w:tc>
          <w:tcPr>
            <w:tcW w:w="2617" w:type="dxa"/>
            <w:noWrap w:val="0"/>
            <w:vAlign w:val="center"/>
          </w:tcPr>
          <w:p w14:paraId="7EC41A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洁净无灰尘</w:t>
            </w:r>
          </w:p>
        </w:tc>
        <w:tc>
          <w:tcPr>
            <w:tcW w:w="2220" w:type="dxa"/>
            <w:noWrap w:val="0"/>
            <w:vAlign w:val="center"/>
          </w:tcPr>
          <w:p w14:paraId="24E5D1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1BAE99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9FF2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jc w:val="center"/>
        </w:trPr>
        <w:tc>
          <w:tcPr>
            <w:tcW w:w="981" w:type="dxa"/>
            <w:vMerge w:val="continue"/>
            <w:tcBorders>
              <w:top w:val="nil"/>
              <w:bottom w:val="nil"/>
            </w:tcBorders>
            <w:noWrap w:val="0"/>
            <w:vAlign w:val="center"/>
          </w:tcPr>
          <w:p w14:paraId="3C8738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7A044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高空除尘（天花板、灯具、烟感、探头、封面等）</w:t>
            </w:r>
          </w:p>
        </w:tc>
        <w:tc>
          <w:tcPr>
            <w:tcW w:w="2617" w:type="dxa"/>
            <w:noWrap w:val="0"/>
            <w:vAlign w:val="center"/>
          </w:tcPr>
          <w:p w14:paraId="241AEE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6EE1BDD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50640FC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DA62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jc w:val="center"/>
        </w:trPr>
        <w:tc>
          <w:tcPr>
            <w:tcW w:w="981" w:type="dxa"/>
            <w:vMerge w:val="continue"/>
            <w:tcBorders>
              <w:top w:val="nil"/>
              <w:bottom w:val="nil"/>
            </w:tcBorders>
            <w:noWrap w:val="0"/>
            <w:vAlign w:val="center"/>
          </w:tcPr>
          <w:p w14:paraId="4492F0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DF3142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出风口、空调及空调内滤网清洗</w:t>
            </w:r>
          </w:p>
        </w:tc>
        <w:tc>
          <w:tcPr>
            <w:tcW w:w="2617" w:type="dxa"/>
            <w:noWrap w:val="0"/>
            <w:vAlign w:val="center"/>
          </w:tcPr>
          <w:p w14:paraId="3E23F5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无积灰 无蛛网</w:t>
            </w:r>
          </w:p>
        </w:tc>
        <w:tc>
          <w:tcPr>
            <w:tcW w:w="2220" w:type="dxa"/>
            <w:noWrap w:val="0"/>
            <w:vAlign w:val="center"/>
          </w:tcPr>
          <w:p w14:paraId="33F9C7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每月 1 次</w:t>
            </w:r>
          </w:p>
        </w:tc>
        <w:tc>
          <w:tcPr>
            <w:tcW w:w="1471" w:type="dxa"/>
            <w:noWrap w:val="0"/>
            <w:vAlign w:val="center"/>
          </w:tcPr>
          <w:p w14:paraId="1309CE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E15E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jc w:val="center"/>
        </w:trPr>
        <w:tc>
          <w:tcPr>
            <w:tcW w:w="981" w:type="dxa"/>
            <w:vMerge w:val="continue"/>
            <w:tcBorders>
              <w:top w:val="nil"/>
              <w:bottom w:val="nil"/>
            </w:tcBorders>
            <w:noWrap w:val="0"/>
            <w:vAlign w:val="center"/>
          </w:tcPr>
          <w:p w14:paraId="545EA5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E8A7B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垃圾篓及各种垃圾桶的清洁</w:t>
            </w:r>
          </w:p>
        </w:tc>
        <w:tc>
          <w:tcPr>
            <w:tcW w:w="2617" w:type="dxa"/>
            <w:noWrap w:val="0"/>
            <w:vAlign w:val="center"/>
          </w:tcPr>
          <w:p w14:paraId="07BA51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清洁 无异味</w:t>
            </w:r>
          </w:p>
        </w:tc>
        <w:tc>
          <w:tcPr>
            <w:tcW w:w="2220" w:type="dxa"/>
            <w:noWrap w:val="0"/>
            <w:vAlign w:val="center"/>
          </w:tcPr>
          <w:p w14:paraId="4E6563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必要时</w:t>
            </w:r>
          </w:p>
        </w:tc>
        <w:tc>
          <w:tcPr>
            <w:tcW w:w="1471" w:type="dxa"/>
            <w:noWrap w:val="0"/>
            <w:vAlign w:val="center"/>
          </w:tcPr>
          <w:p w14:paraId="21A5E5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27B60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jc w:val="center"/>
        </w:trPr>
        <w:tc>
          <w:tcPr>
            <w:tcW w:w="981" w:type="dxa"/>
            <w:vMerge w:val="continue"/>
            <w:tcBorders>
              <w:top w:val="nil"/>
              <w:bottom w:val="nil"/>
            </w:tcBorders>
            <w:noWrap w:val="0"/>
            <w:vAlign w:val="center"/>
          </w:tcPr>
          <w:p w14:paraId="4AC8CB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42040A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门头、门面、门框的清洁</w:t>
            </w:r>
          </w:p>
        </w:tc>
        <w:tc>
          <w:tcPr>
            <w:tcW w:w="2617" w:type="dxa"/>
            <w:noWrap w:val="0"/>
            <w:vAlign w:val="center"/>
          </w:tcPr>
          <w:p w14:paraId="5CDE44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干净 无灰尘 无蛛网</w:t>
            </w:r>
          </w:p>
        </w:tc>
        <w:tc>
          <w:tcPr>
            <w:tcW w:w="2220" w:type="dxa"/>
            <w:noWrap w:val="0"/>
            <w:vAlign w:val="center"/>
          </w:tcPr>
          <w:p w14:paraId="23CD8D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2B0A99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5E1810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jc w:val="center"/>
        </w:trPr>
        <w:tc>
          <w:tcPr>
            <w:tcW w:w="981" w:type="dxa"/>
            <w:vMerge w:val="continue"/>
            <w:tcBorders>
              <w:top w:val="nil"/>
              <w:bottom w:val="nil"/>
            </w:tcBorders>
            <w:noWrap w:val="0"/>
            <w:vAlign w:val="center"/>
          </w:tcPr>
          <w:p w14:paraId="56267DE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4ACB7A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玻璃及纱窗的清洁</w:t>
            </w:r>
          </w:p>
        </w:tc>
        <w:tc>
          <w:tcPr>
            <w:tcW w:w="2617" w:type="dxa"/>
            <w:noWrap w:val="0"/>
            <w:vAlign w:val="center"/>
          </w:tcPr>
          <w:p w14:paraId="79C2F0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干净 无灰尘 无水迹</w:t>
            </w:r>
          </w:p>
        </w:tc>
        <w:tc>
          <w:tcPr>
            <w:tcW w:w="2220" w:type="dxa"/>
            <w:noWrap w:val="0"/>
            <w:vAlign w:val="center"/>
          </w:tcPr>
          <w:p w14:paraId="37AC9F4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每月 1 次</w:t>
            </w:r>
          </w:p>
        </w:tc>
        <w:tc>
          <w:tcPr>
            <w:tcW w:w="1471" w:type="dxa"/>
            <w:noWrap w:val="0"/>
            <w:vAlign w:val="center"/>
          </w:tcPr>
          <w:p w14:paraId="7071B8C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2B409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981" w:type="dxa"/>
            <w:vMerge w:val="continue"/>
            <w:tcBorders>
              <w:top w:val="nil"/>
            </w:tcBorders>
            <w:noWrap w:val="0"/>
            <w:vAlign w:val="center"/>
          </w:tcPr>
          <w:p w14:paraId="638F52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659CAD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地面刷洗</w:t>
            </w:r>
          </w:p>
        </w:tc>
        <w:tc>
          <w:tcPr>
            <w:tcW w:w="2617" w:type="dxa"/>
            <w:noWrap w:val="0"/>
            <w:vAlign w:val="center"/>
          </w:tcPr>
          <w:p w14:paraId="5A722B0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清洁 无结垢 无积灰</w:t>
            </w:r>
          </w:p>
        </w:tc>
        <w:tc>
          <w:tcPr>
            <w:tcW w:w="2220" w:type="dxa"/>
            <w:noWrap w:val="0"/>
            <w:vAlign w:val="center"/>
          </w:tcPr>
          <w:p w14:paraId="3A5C7E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2A6962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83A9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981" w:type="dxa"/>
            <w:vMerge w:val="restart"/>
            <w:tcBorders>
              <w:bottom w:val="nil"/>
            </w:tcBorders>
            <w:noWrap w:val="0"/>
            <w:vAlign w:val="center"/>
          </w:tcPr>
          <w:p w14:paraId="783074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其他</w:t>
            </w:r>
          </w:p>
        </w:tc>
        <w:tc>
          <w:tcPr>
            <w:tcW w:w="2150" w:type="dxa"/>
            <w:noWrap w:val="0"/>
            <w:vAlign w:val="center"/>
          </w:tcPr>
          <w:p w14:paraId="01807B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电梯厅镜面砖晶面翻新</w:t>
            </w:r>
          </w:p>
        </w:tc>
        <w:tc>
          <w:tcPr>
            <w:tcW w:w="2617" w:type="dxa"/>
            <w:noWrap w:val="0"/>
            <w:vAlign w:val="center"/>
          </w:tcPr>
          <w:p w14:paraId="6AE9B9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光亮如新</w:t>
            </w:r>
          </w:p>
        </w:tc>
        <w:tc>
          <w:tcPr>
            <w:tcW w:w="2220" w:type="dxa"/>
            <w:noWrap w:val="0"/>
            <w:vAlign w:val="center"/>
          </w:tcPr>
          <w:p w14:paraId="03C4AC5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不少于 1 次/年</w:t>
            </w:r>
          </w:p>
        </w:tc>
        <w:tc>
          <w:tcPr>
            <w:tcW w:w="1471" w:type="dxa"/>
            <w:noWrap w:val="0"/>
            <w:vAlign w:val="center"/>
          </w:tcPr>
          <w:p w14:paraId="59E15D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58168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981" w:type="dxa"/>
            <w:vMerge w:val="continue"/>
            <w:tcBorders>
              <w:top w:val="nil"/>
              <w:bottom w:val="nil"/>
            </w:tcBorders>
            <w:noWrap w:val="0"/>
            <w:vAlign w:val="center"/>
          </w:tcPr>
          <w:p w14:paraId="1F517E1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62C89C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公共大厅大理石晶面翻新</w:t>
            </w:r>
          </w:p>
        </w:tc>
        <w:tc>
          <w:tcPr>
            <w:tcW w:w="2617" w:type="dxa"/>
            <w:noWrap w:val="0"/>
            <w:vAlign w:val="center"/>
          </w:tcPr>
          <w:p w14:paraId="6005F0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光亮如新</w:t>
            </w:r>
          </w:p>
        </w:tc>
        <w:tc>
          <w:tcPr>
            <w:tcW w:w="2220" w:type="dxa"/>
            <w:noWrap w:val="0"/>
            <w:vAlign w:val="center"/>
          </w:tcPr>
          <w:p w14:paraId="6444D0E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不少于 1 次/年</w:t>
            </w:r>
          </w:p>
        </w:tc>
        <w:tc>
          <w:tcPr>
            <w:tcW w:w="1471" w:type="dxa"/>
            <w:noWrap w:val="0"/>
            <w:vAlign w:val="center"/>
          </w:tcPr>
          <w:p w14:paraId="10D0AE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D016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jc w:val="center"/>
        </w:trPr>
        <w:tc>
          <w:tcPr>
            <w:tcW w:w="981" w:type="dxa"/>
            <w:vMerge w:val="continue"/>
            <w:tcBorders>
              <w:top w:val="nil"/>
            </w:tcBorders>
            <w:noWrap w:val="0"/>
            <w:vAlign w:val="center"/>
          </w:tcPr>
          <w:p w14:paraId="1E327DC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7286E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窗帘及隔帘的拆、挂外墙面、</w:t>
            </w:r>
          </w:p>
        </w:tc>
        <w:tc>
          <w:tcPr>
            <w:tcW w:w="2617" w:type="dxa"/>
            <w:noWrap w:val="0"/>
            <w:vAlign w:val="center"/>
          </w:tcPr>
          <w:p w14:paraId="3AC153C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无污迹 整洁 清洁 无结垢 无积灰</w:t>
            </w:r>
          </w:p>
        </w:tc>
        <w:tc>
          <w:tcPr>
            <w:tcW w:w="2220" w:type="dxa"/>
            <w:noWrap w:val="0"/>
            <w:vAlign w:val="center"/>
          </w:tcPr>
          <w:p w14:paraId="74C229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不少于 1 次/年</w:t>
            </w:r>
          </w:p>
        </w:tc>
        <w:tc>
          <w:tcPr>
            <w:tcW w:w="1471" w:type="dxa"/>
            <w:noWrap w:val="0"/>
            <w:vAlign w:val="center"/>
          </w:tcPr>
          <w:p w14:paraId="548406E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107C5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jc w:val="center"/>
        </w:trPr>
        <w:tc>
          <w:tcPr>
            <w:tcW w:w="981" w:type="dxa"/>
            <w:vMerge w:val="restart"/>
            <w:noWrap w:val="0"/>
            <w:vAlign w:val="center"/>
          </w:tcPr>
          <w:p w14:paraId="451B86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室外保</w:t>
            </w:r>
          </w:p>
          <w:p w14:paraId="511267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洁工作</w:t>
            </w:r>
          </w:p>
          <w:p w14:paraId="779E0F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内容</w:t>
            </w:r>
          </w:p>
        </w:tc>
        <w:tc>
          <w:tcPr>
            <w:tcW w:w="2150" w:type="dxa"/>
            <w:noWrap w:val="0"/>
            <w:vAlign w:val="center"/>
          </w:tcPr>
          <w:p w14:paraId="715E5C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区域内道路、通道、绿地、台坡、台阶的打扫</w:t>
            </w:r>
          </w:p>
        </w:tc>
        <w:tc>
          <w:tcPr>
            <w:tcW w:w="2617" w:type="dxa"/>
            <w:noWrap w:val="0"/>
            <w:vAlign w:val="center"/>
          </w:tcPr>
          <w:p w14:paraId="3DB864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无积土、地面无积水、无纸屑杂 物，8:00 前完成</w:t>
            </w:r>
          </w:p>
        </w:tc>
        <w:tc>
          <w:tcPr>
            <w:tcW w:w="2220" w:type="dxa"/>
            <w:noWrap w:val="0"/>
            <w:vAlign w:val="center"/>
          </w:tcPr>
          <w:p w14:paraId="350C0A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40F8FC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CC06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jc w:val="center"/>
        </w:trPr>
        <w:tc>
          <w:tcPr>
            <w:tcW w:w="981" w:type="dxa"/>
            <w:vMerge w:val="continue"/>
            <w:noWrap w:val="0"/>
            <w:vAlign w:val="center"/>
          </w:tcPr>
          <w:p w14:paraId="756A00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194B35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台阶、坡道石材地面刷洗</w:t>
            </w:r>
          </w:p>
        </w:tc>
        <w:tc>
          <w:tcPr>
            <w:tcW w:w="2617" w:type="dxa"/>
            <w:noWrap w:val="0"/>
            <w:vAlign w:val="center"/>
          </w:tcPr>
          <w:p w14:paraId="12A834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无污迹、积垢</w:t>
            </w:r>
          </w:p>
        </w:tc>
        <w:tc>
          <w:tcPr>
            <w:tcW w:w="2220" w:type="dxa"/>
            <w:noWrap w:val="0"/>
            <w:vAlign w:val="center"/>
          </w:tcPr>
          <w:p w14:paraId="176CC6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144C932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52A27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8" w:hRule="atLeast"/>
          <w:jc w:val="center"/>
        </w:trPr>
        <w:tc>
          <w:tcPr>
            <w:tcW w:w="981" w:type="dxa"/>
            <w:vMerge w:val="continue"/>
            <w:noWrap w:val="0"/>
            <w:vAlign w:val="center"/>
          </w:tcPr>
          <w:p w14:paraId="610E72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44D91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道路、通道、绿地、台坡、台阶的巡视及清洁</w:t>
            </w:r>
          </w:p>
        </w:tc>
        <w:tc>
          <w:tcPr>
            <w:tcW w:w="2617" w:type="dxa"/>
            <w:noWrap w:val="0"/>
            <w:vAlign w:val="center"/>
          </w:tcPr>
          <w:p w14:paraId="04AE8F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地面无积水、无纸屑杂物、无悬 挂物、无垃圾</w:t>
            </w:r>
          </w:p>
        </w:tc>
        <w:tc>
          <w:tcPr>
            <w:tcW w:w="2220" w:type="dxa"/>
            <w:noWrap w:val="0"/>
            <w:vAlign w:val="center"/>
          </w:tcPr>
          <w:p w14:paraId="040249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主要区域：2 次/小时，其</w:t>
            </w:r>
          </w:p>
          <w:p w14:paraId="5E993E6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他区域 1 次/小时</w:t>
            </w:r>
          </w:p>
        </w:tc>
        <w:tc>
          <w:tcPr>
            <w:tcW w:w="1471" w:type="dxa"/>
            <w:noWrap w:val="0"/>
            <w:vAlign w:val="center"/>
          </w:tcPr>
          <w:p w14:paraId="3B3B25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EBFA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jc w:val="center"/>
        </w:trPr>
        <w:tc>
          <w:tcPr>
            <w:tcW w:w="981" w:type="dxa"/>
            <w:vMerge w:val="continue"/>
            <w:noWrap w:val="0"/>
            <w:vAlign w:val="center"/>
          </w:tcPr>
          <w:p w14:paraId="36B5511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FFDA7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路牙上杂草的清除</w:t>
            </w:r>
          </w:p>
        </w:tc>
        <w:tc>
          <w:tcPr>
            <w:tcW w:w="2617" w:type="dxa"/>
            <w:noWrap w:val="0"/>
            <w:vAlign w:val="center"/>
          </w:tcPr>
          <w:p w14:paraId="55A4F5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无杂草生长</w:t>
            </w:r>
          </w:p>
        </w:tc>
        <w:tc>
          <w:tcPr>
            <w:tcW w:w="2220" w:type="dxa"/>
            <w:noWrap w:val="0"/>
            <w:vAlign w:val="center"/>
          </w:tcPr>
          <w:p w14:paraId="1D4D3E7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4ABBFB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1F864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jc w:val="center"/>
        </w:trPr>
        <w:tc>
          <w:tcPr>
            <w:tcW w:w="981" w:type="dxa"/>
            <w:vMerge w:val="continue"/>
            <w:noWrap w:val="0"/>
            <w:vAlign w:val="center"/>
          </w:tcPr>
          <w:p w14:paraId="32A128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BD79C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道路两旁窨井内杂物的定期清</w:t>
            </w:r>
          </w:p>
        </w:tc>
        <w:tc>
          <w:tcPr>
            <w:tcW w:w="2617" w:type="dxa"/>
            <w:noWrap w:val="0"/>
            <w:vAlign w:val="center"/>
          </w:tcPr>
          <w:p w14:paraId="3C8317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无淤泥垃圾</w:t>
            </w:r>
          </w:p>
        </w:tc>
        <w:tc>
          <w:tcPr>
            <w:tcW w:w="2220" w:type="dxa"/>
            <w:noWrap w:val="0"/>
            <w:vAlign w:val="center"/>
          </w:tcPr>
          <w:p w14:paraId="768BDDB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每月 1 次</w:t>
            </w:r>
          </w:p>
        </w:tc>
        <w:tc>
          <w:tcPr>
            <w:tcW w:w="1471" w:type="dxa"/>
            <w:noWrap w:val="0"/>
            <w:vAlign w:val="center"/>
          </w:tcPr>
          <w:p w14:paraId="2D3523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4424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jc w:val="center"/>
        </w:trPr>
        <w:tc>
          <w:tcPr>
            <w:tcW w:w="981" w:type="dxa"/>
            <w:vMerge w:val="continue"/>
            <w:noWrap w:val="0"/>
            <w:vAlign w:val="center"/>
          </w:tcPr>
          <w:p w14:paraId="290A6F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065DCE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雨雪天气是及时清除积雪、积水并在必要时铺设防滑垫等物</w:t>
            </w:r>
          </w:p>
        </w:tc>
        <w:tc>
          <w:tcPr>
            <w:tcW w:w="2617" w:type="dxa"/>
            <w:noWrap w:val="0"/>
            <w:vAlign w:val="center"/>
          </w:tcPr>
          <w:p w14:paraId="5847E6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无积雪、积水、路面不湿滑</w:t>
            </w:r>
          </w:p>
        </w:tc>
        <w:tc>
          <w:tcPr>
            <w:tcW w:w="2220" w:type="dxa"/>
            <w:noWrap w:val="0"/>
            <w:vAlign w:val="center"/>
          </w:tcPr>
          <w:p w14:paraId="646E0CD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必要时</w:t>
            </w:r>
          </w:p>
        </w:tc>
        <w:tc>
          <w:tcPr>
            <w:tcW w:w="1471" w:type="dxa"/>
            <w:noWrap w:val="0"/>
            <w:vAlign w:val="center"/>
          </w:tcPr>
          <w:p w14:paraId="1086F6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BE9A5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jc w:val="center"/>
        </w:trPr>
        <w:tc>
          <w:tcPr>
            <w:tcW w:w="981" w:type="dxa"/>
            <w:vMerge w:val="continue"/>
            <w:noWrap w:val="0"/>
            <w:vAlign w:val="center"/>
          </w:tcPr>
          <w:p w14:paraId="4F9B30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22843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区域内所有屋面、顶棚、平台的清洁并填写巡视记录</w:t>
            </w:r>
          </w:p>
        </w:tc>
        <w:tc>
          <w:tcPr>
            <w:tcW w:w="2617" w:type="dxa"/>
            <w:noWrap w:val="0"/>
            <w:vAlign w:val="center"/>
          </w:tcPr>
          <w:p w14:paraId="571E59B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无垃圾杂物、按巡视要求认真记 录</w:t>
            </w:r>
          </w:p>
        </w:tc>
        <w:tc>
          <w:tcPr>
            <w:tcW w:w="2220" w:type="dxa"/>
            <w:noWrap w:val="0"/>
            <w:vAlign w:val="center"/>
          </w:tcPr>
          <w:p w14:paraId="51F2368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4948BFB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6EF6CD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981" w:type="dxa"/>
            <w:vMerge w:val="continue"/>
            <w:noWrap w:val="0"/>
            <w:vAlign w:val="center"/>
          </w:tcPr>
          <w:p w14:paraId="693F92D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5D794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室外栏杆、路灯、标识牌的清</w:t>
            </w:r>
          </w:p>
        </w:tc>
        <w:tc>
          <w:tcPr>
            <w:tcW w:w="2617" w:type="dxa"/>
            <w:noWrap w:val="0"/>
            <w:vAlign w:val="center"/>
          </w:tcPr>
          <w:p w14:paraId="54285B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洁净、无污迹</w:t>
            </w:r>
          </w:p>
        </w:tc>
        <w:tc>
          <w:tcPr>
            <w:tcW w:w="2220" w:type="dxa"/>
            <w:noWrap w:val="0"/>
            <w:vAlign w:val="center"/>
          </w:tcPr>
          <w:p w14:paraId="3B2861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3B47B4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7E705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jc w:val="center"/>
        </w:trPr>
        <w:tc>
          <w:tcPr>
            <w:tcW w:w="981" w:type="dxa"/>
            <w:vMerge w:val="continue"/>
            <w:noWrap w:val="0"/>
            <w:vAlign w:val="center"/>
          </w:tcPr>
          <w:p w14:paraId="0497B6B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785019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及时清理张贴的小广告</w:t>
            </w:r>
          </w:p>
        </w:tc>
        <w:tc>
          <w:tcPr>
            <w:tcW w:w="2617" w:type="dxa"/>
            <w:noWrap w:val="0"/>
            <w:vAlign w:val="center"/>
          </w:tcPr>
          <w:p w14:paraId="1F4E21C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无小广告</w:t>
            </w:r>
          </w:p>
        </w:tc>
        <w:tc>
          <w:tcPr>
            <w:tcW w:w="2220" w:type="dxa"/>
            <w:noWrap w:val="0"/>
            <w:vAlign w:val="center"/>
          </w:tcPr>
          <w:p w14:paraId="0AB755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随时</w:t>
            </w:r>
          </w:p>
        </w:tc>
        <w:tc>
          <w:tcPr>
            <w:tcW w:w="1471" w:type="dxa"/>
            <w:noWrap w:val="0"/>
            <w:vAlign w:val="center"/>
          </w:tcPr>
          <w:p w14:paraId="72AC782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A0AA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981" w:type="dxa"/>
            <w:vMerge w:val="continue"/>
            <w:noWrap w:val="0"/>
            <w:vAlign w:val="center"/>
          </w:tcPr>
          <w:p w14:paraId="19335A7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2208C5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定期清洁室外垃圾桶</w:t>
            </w:r>
          </w:p>
        </w:tc>
        <w:tc>
          <w:tcPr>
            <w:tcW w:w="2617" w:type="dxa"/>
            <w:noWrap w:val="0"/>
            <w:vAlign w:val="center"/>
          </w:tcPr>
          <w:p w14:paraId="50C368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干净无污迹</w:t>
            </w:r>
          </w:p>
        </w:tc>
        <w:tc>
          <w:tcPr>
            <w:tcW w:w="2220" w:type="dxa"/>
            <w:noWrap w:val="0"/>
            <w:vAlign w:val="center"/>
          </w:tcPr>
          <w:p w14:paraId="015D3EC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1617CE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0A76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jc w:val="center"/>
        </w:trPr>
        <w:tc>
          <w:tcPr>
            <w:tcW w:w="981" w:type="dxa"/>
            <w:vMerge w:val="continue"/>
            <w:noWrap w:val="0"/>
            <w:vAlign w:val="center"/>
          </w:tcPr>
          <w:p w14:paraId="7BF942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C4D72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清洁室外各类座椅</w:t>
            </w:r>
          </w:p>
        </w:tc>
        <w:tc>
          <w:tcPr>
            <w:tcW w:w="2617" w:type="dxa"/>
            <w:noWrap w:val="0"/>
            <w:vAlign w:val="center"/>
          </w:tcPr>
          <w:p w14:paraId="31EC42C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无水迹无灰尘</w:t>
            </w:r>
          </w:p>
        </w:tc>
        <w:tc>
          <w:tcPr>
            <w:tcW w:w="2220" w:type="dxa"/>
            <w:noWrap w:val="0"/>
            <w:vAlign w:val="center"/>
          </w:tcPr>
          <w:p w14:paraId="14A419D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1 次</w:t>
            </w:r>
          </w:p>
        </w:tc>
        <w:tc>
          <w:tcPr>
            <w:tcW w:w="1471" w:type="dxa"/>
            <w:noWrap w:val="0"/>
            <w:vAlign w:val="center"/>
          </w:tcPr>
          <w:p w14:paraId="2AAC6A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31B97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981" w:type="dxa"/>
            <w:vMerge w:val="continue"/>
            <w:noWrap w:val="0"/>
            <w:vAlign w:val="center"/>
          </w:tcPr>
          <w:p w14:paraId="21D1FE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5C0FFF7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收送垃圾</w:t>
            </w:r>
          </w:p>
        </w:tc>
        <w:tc>
          <w:tcPr>
            <w:tcW w:w="2617" w:type="dxa"/>
            <w:noWrap w:val="0"/>
            <w:vAlign w:val="center"/>
          </w:tcPr>
          <w:p w14:paraId="3D6582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无异味、不滴漏、不满不溢</w:t>
            </w:r>
          </w:p>
        </w:tc>
        <w:tc>
          <w:tcPr>
            <w:tcW w:w="2220" w:type="dxa"/>
            <w:noWrap w:val="0"/>
            <w:vAlign w:val="center"/>
          </w:tcPr>
          <w:p w14:paraId="64B1177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每天 2 次</w:t>
            </w:r>
          </w:p>
        </w:tc>
        <w:tc>
          <w:tcPr>
            <w:tcW w:w="1471" w:type="dxa"/>
            <w:noWrap w:val="0"/>
            <w:vAlign w:val="center"/>
          </w:tcPr>
          <w:p w14:paraId="511620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55C0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jc w:val="center"/>
        </w:trPr>
        <w:tc>
          <w:tcPr>
            <w:tcW w:w="981" w:type="dxa"/>
            <w:vMerge w:val="continue"/>
            <w:noWrap w:val="0"/>
            <w:vAlign w:val="center"/>
          </w:tcPr>
          <w:p w14:paraId="1641C0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2B8889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不锈钢物体表面保养（护栏、扶手）</w:t>
            </w:r>
          </w:p>
        </w:tc>
        <w:tc>
          <w:tcPr>
            <w:tcW w:w="2617" w:type="dxa"/>
            <w:noWrap w:val="0"/>
            <w:vAlign w:val="center"/>
          </w:tcPr>
          <w:p w14:paraId="296277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无灰尘污迹</w:t>
            </w:r>
          </w:p>
        </w:tc>
        <w:tc>
          <w:tcPr>
            <w:tcW w:w="2220" w:type="dxa"/>
            <w:noWrap w:val="0"/>
            <w:vAlign w:val="center"/>
          </w:tcPr>
          <w:p w14:paraId="273BCB8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01D148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0030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jc w:val="center"/>
        </w:trPr>
        <w:tc>
          <w:tcPr>
            <w:tcW w:w="981" w:type="dxa"/>
            <w:vMerge w:val="continue"/>
            <w:noWrap w:val="0"/>
            <w:vAlign w:val="center"/>
          </w:tcPr>
          <w:p w14:paraId="20481A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18A0CC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2米以下幕墙的清洁</w:t>
            </w:r>
          </w:p>
        </w:tc>
        <w:tc>
          <w:tcPr>
            <w:tcW w:w="2617" w:type="dxa"/>
            <w:noWrap w:val="0"/>
            <w:vAlign w:val="center"/>
          </w:tcPr>
          <w:p w14:paraId="4A7EDE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洁净无灰尘</w:t>
            </w:r>
          </w:p>
        </w:tc>
        <w:tc>
          <w:tcPr>
            <w:tcW w:w="2220" w:type="dxa"/>
            <w:noWrap w:val="0"/>
            <w:vAlign w:val="center"/>
          </w:tcPr>
          <w:p w14:paraId="04A8823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50AB8A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934F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981" w:type="dxa"/>
            <w:vMerge w:val="continue"/>
            <w:noWrap w:val="0"/>
            <w:vAlign w:val="center"/>
          </w:tcPr>
          <w:p w14:paraId="256E51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03264E9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室外消防栓、消防器材的擦拭</w:t>
            </w:r>
          </w:p>
        </w:tc>
        <w:tc>
          <w:tcPr>
            <w:tcW w:w="2617" w:type="dxa"/>
            <w:noWrap w:val="0"/>
            <w:vAlign w:val="center"/>
          </w:tcPr>
          <w:p w14:paraId="70176C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洁净无灰尘</w:t>
            </w:r>
          </w:p>
        </w:tc>
        <w:tc>
          <w:tcPr>
            <w:tcW w:w="2220" w:type="dxa"/>
            <w:noWrap w:val="0"/>
            <w:vAlign w:val="center"/>
          </w:tcPr>
          <w:p w14:paraId="0BDC8E5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35008BA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40343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jc w:val="center"/>
        </w:trPr>
        <w:tc>
          <w:tcPr>
            <w:tcW w:w="981" w:type="dxa"/>
            <w:vMerge w:val="continue"/>
            <w:noWrap w:val="0"/>
            <w:vAlign w:val="center"/>
          </w:tcPr>
          <w:p w14:paraId="018D85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32E397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高空除尘（室外连廊顶部、探头、墙面等）</w:t>
            </w:r>
          </w:p>
        </w:tc>
        <w:tc>
          <w:tcPr>
            <w:tcW w:w="2617" w:type="dxa"/>
            <w:noWrap w:val="0"/>
            <w:vAlign w:val="center"/>
          </w:tcPr>
          <w:p w14:paraId="42E1EFD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无灰尘 无蛛网</w:t>
            </w:r>
          </w:p>
        </w:tc>
        <w:tc>
          <w:tcPr>
            <w:tcW w:w="2220" w:type="dxa"/>
            <w:noWrap w:val="0"/>
            <w:vAlign w:val="center"/>
          </w:tcPr>
          <w:p w14:paraId="12F894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164B57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786B9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981" w:type="dxa"/>
            <w:vMerge w:val="continue"/>
            <w:noWrap w:val="0"/>
            <w:vAlign w:val="center"/>
          </w:tcPr>
          <w:p w14:paraId="3CEBEF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p>
        </w:tc>
        <w:tc>
          <w:tcPr>
            <w:tcW w:w="2150" w:type="dxa"/>
            <w:noWrap w:val="0"/>
            <w:vAlign w:val="center"/>
          </w:tcPr>
          <w:p w14:paraId="4914446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出风口的清洁</w:t>
            </w:r>
          </w:p>
        </w:tc>
        <w:tc>
          <w:tcPr>
            <w:tcW w:w="2617" w:type="dxa"/>
            <w:noWrap w:val="0"/>
            <w:vAlign w:val="center"/>
          </w:tcPr>
          <w:p w14:paraId="1DC9429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洁净 无积灰 无蛛网</w:t>
            </w:r>
          </w:p>
        </w:tc>
        <w:tc>
          <w:tcPr>
            <w:tcW w:w="2220" w:type="dxa"/>
            <w:noWrap w:val="0"/>
            <w:vAlign w:val="center"/>
          </w:tcPr>
          <w:p w14:paraId="2FE889B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每周 1 次</w:t>
            </w:r>
          </w:p>
        </w:tc>
        <w:tc>
          <w:tcPr>
            <w:tcW w:w="1471" w:type="dxa"/>
            <w:noWrap w:val="0"/>
            <w:vAlign w:val="center"/>
          </w:tcPr>
          <w:p w14:paraId="5AFD58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5CC13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jc w:val="center"/>
        </w:trPr>
        <w:tc>
          <w:tcPr>
            <w:tcW w:w="981" w:type="dxa"/>
            <w:noWrap w:val="0"/>
            <w:vAlign w:val="center"/>
          </w:tcPr>
          <w:p w14:paraId="78ECBE4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其他</w:t>
            </w:r>
          </w:p>
        </w:tc>
        <w:tc>
          <w:tcPr>
            <w:tcW w:w="2150" w:type="dxa"/>
            <w:noWrap w:val="0"/>
            <w:vAlign w:val="center"/>
          </w:tcPr>
          <w:p w14:paraId="4D52D13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化粪池清理</w:t>
            </w:r>
          </w:p>
        </w:tc>
        <w:tc>
          <w:tcPr>
            <w:tcW w:w="2617" w:type="dxa"/>
            <w:noWrap w:val="0"/>
            <w:vAlign w:val="center"/>
          </w:tcPr>
          <w:p w14:paraId="5441E10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出入口畅通，井内无积物浮于水面上，池盖无污渍、污物，清理后及时清洁现场</w:t>
            </w:r>
          </w:p>
        </w:tc>
        <w:tc>
          <w:tcPr>
            <w:tcW w:w="2220" w:type="dxa"/>
            <w:noWrap w:val="0"/>
            <w:vAlign w:val="center"/>
          </w:tcPr>
          <w:p w14:paraId="6351BB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不少于 1 次/年</w:t>
            </w:r>
          </w:p>
        </w:tc>
        <w:tc>
          <w:tcPr>
            <w:tcW w:w="1471" w:type="dxa"/>
            <w:noWrap w:val="0"/>
            <w:vAlign w:val="center"/>
          </w:tcPr>
          <w:p w14:paraId="04D7A1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不达标扣1分</w:t>
            </w:r>
          </w:p>
        </w:tc>
      </w:tr>
      <w:tr w14:paraId="00248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jc w:val="center"/>
        </w:trPr>
        <w:tc>
          <w:tcPr>
            <w:tcW w:w="981" w:type="dxa"/>
            <w:vMerge w:val="restart"/>
            <w:shd w:val="clear" w:color="auto" w:fill="auto"/>
            <w:noWrap w:val="0"/>
            <w:vAlign w:val="center"/>
          </w:tcPr>
          <w:p w14:paraId="6509A186">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服务</w:t>
            </w:r>
          </w:p>
          <w:p w14:paraId="31AA8C5C">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效能</w:t>
            </w:r>
          </w:p>
        </w:tc>
        <w:tc>
          <w:tcPr>
            <w:tcW w:w="2150" w:type="dxa"/>
            <w:shd w:val="clear" w:color="auto" w:fill="auto"/>
            <w:noWrap w:val="0"/>
            <w:vAlign w:val="center"/>
          </w:tcPr>
          <w:p w14:paraId="602C8B12">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文明服务意识</w:t>
            </w:r>
          </w:p>
        </w:tc>
        <w:tc>
          <w:tcPr>
            <w:tcW w:w="2617" w:type="dxa"/>
            <w:shd w:val="clear" w:color="auto" w:fill="auto"/>
            <w:noWrap w:val="0"/>
            <w:vAlign w:val="center"/>
          </w:tcPr>
          <w:p w14:paraId="2AC037A8">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无被客户有效投诉或上级检查未产生不良影响</w:t>
            </w:r>
          </w:p>
        </w:tc>
        <w:tc>
          <w:tcPr>
            <w:tcW w:w="2220" w:type="dxa"/>
            <w:shd w:val="clear" w:color="auto" w:fill="auto"/>
            <w:noWrap w:val="0"/>
            <w:vAlign w:val="center"/>
          </w:tcPr>
          <w:p w14:paraId="23A2B0BA">
            <w:pPr>
              <w:pStyle w:val="522"/>
              <w:spacing w:line="360" w:lineRule="auto"/>
              <w:jc w:val="center"/>
              <w:rPr>
                <w:rFonts w:hint="eastAsia" w:ascii="仿宋" w:hAnsi="仿宋" w:eastAsia="仿宋" w:cs="仿宋"/>
                <w:sz w:val="21"/>
                <w:szCs w:val="21"/>
                <w:highlight w:val="none"/>
                <w:lang w:val="en-US" w:eastAsia="zh-CN" w:bidi="ar-SA"/>
              </w:rPr>
            </w:pPr>
          </w:p>
        </w:tc>
        <w:tc>
          <w:tcPr>
            <w:tcW w:w="1471" w:type="dxa"/>
            <w:shd w:val="clear" w:color="auto" w:fill="auto"/>
            <w:noWrap w:val="0"/>
            <w:vAlign w:val="center"/>
          </w:tcPr>
          <w:p w14:paraId="00D2DE95">
            <w:pPr>
              <w:pStyle w:val="522"/>
              <w:spacing w:line="360" w:lineRule="auto"/>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不达标扣1-10分/次</w:t>
            </w:r>
          </w:p>
        </w:tc>
      </w:tr>
      <w:tr w14:paraId="0FCD9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jc w:val="center"/>
        </w:trPr>
        <w:tc>
          <w:tcPr>
            <w:tcW w:w="981" w:type="dxa"/>
            <w:vMerge w:val="continue"/>
            <w:noWrap w:val="0"/>
            <w:vAlign w:val="center"/>
          </w:tcPr>
          <w:p w14:paraId="2B44990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p>
        </w:tc>
        <w:tc>
          <w:tcPr>
            <w:tcW w:w="2150" w:type="dxa"/>
            <w:shd w:val="clear" w:color="auto" w:fill="auto"/>
            <w:noWrap w:val="0"/>
            <w:vAlign w:val="center"/>
          </w:tcPr>
          <w:p w14:paraId="7293A9D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重大会议（活动）和其他任务保障</w:t>
            </w:r>
          </w:p>
        </w:tc>
        <w:tc>
          <w:tcPr>
            <w:tcW w:w="2617" w:type="dxa"/>
            <w:shd w:val="clear" w:color="auto" w:fill="auto"/>
            <w:noWrap w:val="0"/>
            <w:vAlign w:val="center"/>
          </w:tcPr>
          <w:p w14:paraId="42EF8ED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在重大活动（会议）期间保洁和交办的保洁任务按时按质按量完成</w:t>
            </w:r>
          </w:p>
        </w:tc>
        <w:tc>
          <w:tcPr>
            <w:tcW w:w="2220" w:type="dxa"/>
            <w:shd w:val="clear" w:color="auto" w:fill="auto"/>
            <w:noWrap w:val="0"/>
            <w:vAlign w:val="center"/>
          </w:tcPr>
          <w:p w14:paraId="507771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p>
        </w:tc>
        <w:tc>
          <w:tcPr>
            <w:tcW w:w="1471" w:type="dxa"/>
            <w:shd w:val="clear" w:color="auto" w:fill="auto"/>
            <w:noWrap w:val="0"/>
            <w:vAlign w:val="center"/>
          </w:tcPr>
          <w:p w14:paraId="2B7766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不达标扣5-10分/次</w:t>
            </w:r>
          </w:p>
        </w:tc>
      </w:tr>
    </w:tbl>
    <w:p w14:paraId="42225666">
      <w:pPr>
        <w:pStyle w:val="189"/>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六、其他要求</w:t>
      </w:r>
    </w:p>
    <w:p w14:paraId="5350A9EC">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1.成交人不得利用服务区域内的采购人房产、物业、水电等资源从事经营活动，不能改变其使用性质，采购人提供办公用房一间用于中标人日常管理使用。</w:t>
      </w:r>
    </w:p>
    <w:p w14:paraId="5FF859E1">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2.如果发生因成交人工作失职造成消防事故、失窃事件或其他财产损失和人身伤害，均由中标单位承担相关经济和法律责任。</w:t>
      </w:r>
    </w:p>
    <w:p w14:paraId="2617EE11">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3、成交单位所用的全体工作人员的岗位职责、操作规范、人身安全、医疗、工资、各项保险、工程机械、劳动工具、劳保用品、内部管理、各类纠纷等各项事宜及所涉及经费均由成交单位自行负责，采购人概不负责。</w:t>
      </w:r>
    </w:p>
    <w:p w14:paraId="6CAC0D7E">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4.成交单位必须遵守采购人的一切行政管理、消防安全等规定和制度，严禁物业公司员工私下接触被监管人员或为被监管人员捎带物品、信件、口信等违法行为，一经发现，严肃追究相关人员责任。采购人有权对成交单位员工的工作行为进行监督，如发现成交单位员工有违反采购人的规定和制度的行为，采购人将要求其改正，态度恶劣拒不改正的，采购人有权要求成交单位予以辞退，成交单位必须无条件接受。</w:t>
      </w:r>
    </w:p>
    <w:p w14:paraId="2F264BFD">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5.成交单位人员的住宿、保险、治安等问题由中标人自行解决，与采购人无任何关系。</w:t>
      </w:r>
    </w:p>
    <w:p w14:paraId="25A2BD39">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6.遇突发事件或安全检查时，成交单位必须配合有关部门执行任务，并制定专职人员协助工作，直至完成。</w:t>
      </w:r>
    </w:p>
    <w:p w14:paraId="2FDA7454">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7.成交单位人员必须统一着装，挂牌上岗，服从采购人日常临时工作安排；建立完整的工作台账、工作信息收集、反馈等内容。</w:t>
      </w:r>
    </w:p>
    <w:p w14:paraId="1E1086AC">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8.如因工作失误而造成采购人经济损失或工作被动，由成交人负责赔偿经济损失。不可抗力的因素除外。</w:t>
      </w:r>
    </w:p>
    <w:p w14:paraId="17DC6077">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9.本保洁采购由成交人进行总承包，不得转包、分包，一旦发现转包或分包，采购人将报经相关部门处理，并要求终止合同。</w:t>
      </w:r>
    </w:p>
    <w:p w14:paraId="5AE0A63F">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10.其他属于保洁服务范畴内的工作。</w:t>
      </w:r>
    </w:p>
    <w:p w14:paraId="129E69F4">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11.本保洁服务项目，要强化绿色低碳管理目标和服务要求，促进绿色产品和服务的推广运用。</w:t>
      </w:r>
    </w:p>
    <w:p w14:paraId="77CC91E4">
      <w:pPr>
        <w:pStyle w:val="6"/>
        <w:spacing w:line="480" w:lineRule="exact"/>
        <w:ind w:firstLine="482"/>
        <w:rPr>
          <w:rFonts w:hint="eastAsia" w:ascii="仿宋" w:hAnsi="仿宋" w:eastAsia="仿宋" w:cs="仿宋"/>
          <w:b/>
          <w:sz w:val="24"/>
          <w:szCs w:val="24"/>
          <w:lang w:val="en-US" w:eastAsia="zh-CN"/>
        </w:rPr>
      </w:pPr>
      <w:r>
        <w:rPr>
          <w:rFonts w:hint="eastAsia" w:ascii="仿宋" w:hAnsi="仿宋" w:eastAsia="仿宋" w:cs="仿宋"/>
          <w:sz w:val="24"/>
          <w:szCs w:val="24"/>
          <w:lang w:val="en-US" w:eastAsia="zh-CN"/>
        </w:rPr>
        <w:t>注：</w:t>
      </w:r>
      <w:r>
        <w:rPr>
          <w:rFonts w:hint="eastAsia" w:ascii="仿宋" w:hAnsi="仿宋" w:eastAsia="仿宋" w:cs="仿宋"/>
          <w:sz w:val="24"/>
          <w:szCs w:val="24"/>
        </w:rPr>
        <w:t>所有工作人员的工资不得低于宿迁市最新调整的职工最低工资标准。</w:t>
      </w:r>
    </w:p>
    <w:p w14:paraId="72E9B401">
      <w:pPr>
        <w:pStyle w:val="25"/>
        <w:spacing w:before="120" w:after="120" w:line="360" w:lineRule="auto"/>
        <w:ind w:left="410" w:hanging="410"/>
        <w:rPr>
          <w:rFonts w:hint="eastAsia" w:ascii="仿宋" w:hAnsi="仿宋" w:eastAsia="仿宋" w:cs="仿宋"/>
          <w:b/>
          <w:caps w:val="0"/>
          <w:color w:val="auto"/>
          <w:sz w:val="24"/>
          <w:szCs w:val="24"/>
        </w:rPr>
      </w:pPr>
      <w:r>
        <w:rPr>
          <w:rFonts w:hint="eastAsia" w:ascii="仿宋" w:hAnsi="仿宋" w:eastAsia="仿宋" w:cs="仿宋"/>
          <w:b/>
          <w:sz w:val="24"/>
          <w:lang w:val="en-US" w:eastAsia="zh-CN"/>
        </w:rPr>
        <w:t>七、</w:t>
      </w:r>
      <w:r>
        <w:rPr>
          <w:rFonts w:hint="eastAsia" w:ascii="仿宋" w:hAnsi="仿宋" w:eastAsia="仿宋" w:cs="仿宋"/>
          <w:b/>
          <w:caps w:val="0"/>
          <w:color w:val="auto"/>
          <w:sz w:val="24"/>
          <w:szCs w:val="24"/>
        </w:rPr>
        <w:t>履约保证金</w:t>
      </w:r>
    </w:p>
    <w:p w14:paraId="4AF1FEC2">
      <w:pPr>
        <w:pStyle w:val="25"/>
        <w:spacing w:before="120" w:after="120" w:line="360" w:lineRule="auto"/>
        <w:ind w:left="479" w:firstLine="72"/>
        <w:rPr>
          <w:rFonts w:hint="eastAsia" w:ascii="仿宋" w:hAnsi="仿宋" w:eastAsia="仿宋" w:cs="仿宋"/>
          <w:color w:val="000000"/>
          <w:sz w:val="24"/>
        </w:rPr>
      </w:pPr>
      <w:r>
        <w:rPr>
          <w:rFonts w:hint="eastAsia" w:ascii="仿宋" w:hAnsi="仿宋" w:eastAsia="仿宋" w:cs="仿宋"/>
          <w:color w:val="000000"/>
          <w:sz w:val="24"/>
        </w:rPr>
        <w:t>本项目</w:t>
      </w:r>
      <w:r>
        <w:rPr>
          <w:rFonts w:hint="eastAsia" w:ascii="仿宋" w:hAnsi="仿宋" w:eastAsia="仿宋" w:cs="仿宋"/>
          <w:color w:val="000000"/>
          <w:sz w:val="24"/>
          <w:lang w:val="en-US" w:eastAsia="zh-CN"/>
        </w:rPr>
        <w:t>不</w:t>
      </w:r>
      <w:r>
        <w:rPr>
          <w:rFonts w:hint="eastAsia" w:ascii="仿宋" w:hAnsi="仿宋" w:eastAsia="仿宋" w:cs="仿宋"/>
          <w:color w:val="000000"/>
          <w:sz w:val="24"/>
        </w:rPr>
        <w:t>收取履约保证金。</w:t>
      </w:r>
    </w:p>
    <w:p w14:paraId="5729D333">
      <w:pPr>
        <w:pStyle w:val="47"/>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八、甲乙双方责任</w:t>
      </w:r>
    </w:p>
    <w:p w14:paraId="18945AD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（一）甲方责任</w:t>
      </w:r>
    </w:p>
    <w:p w14:paraId="0377C8D4">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1.为乙方物业管理部门提供</w:t>
      </w:r>
      <w:r>
        <w:rPr>
          <w:rFonts w:hint="eastAsia" w:ascii="仿宋" w:hAnsi="仿宋" w:eastAsia="仿宋" w:cs="仿宋"/>
          <w:color w:val="000000"/>
          <w:sz w:val="24"/>
          <w:lang w:val="en-US" w:eastAsia="zh-CN"/>
        </w:rPr>
        <w:t>必要的</w:t>
      </w:r>
      <w:r>
        <w:rPr>
          <w:rFonts w:hint="eastAsia" w:ascii="仿宋" w:hAnsi="仿宋" w:eastAsia="仿宋" w:cs="仿宋"/>
          <w:color w:val="000000"/>
          <w:sz w:val="24"/>
        </w:rPr>
        <w:t>设施；为乙方提供所需相关设备的技术资料及材料，并指定专人作为甲方联系人予以协调工作。加强与乙方沟通，交流情况，互通信息。</w:t>
      </w:r>
    </w:p>
    <w:p w14:paraId="3BC47D5A">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2.甲方因工作需要，遇双休日或节假日需乙方提供采购范围以外的保障服务的，给予乙方员工一定的加班费补贴。</w:t>
      </w:r>
    </w:p>
    <w:p w14:paraId="3ADF6B02">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3.甲方应教育所属人员尊重乙方工作人员的劳动成果，积极配合乙方工作人员履行好合同所规定的职责和义务。对甲方人员因使用设备、器材、器械不当而造成的损失与乙方无关。</w:t>
      </w:r>
    </w:p>
    <w:p w14:paraId="2DECD7EA">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（二）乙方责任</w:t>
      </w:r>
    </w:p>
    <w:p w14:paraId="78701831">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1.乙方在从事物业管理工作中应当做到文明工作、安全生产，采取必要的安全防范措施，合同期内若发生安全事故由乙方承担，与甲方无关。</w:t>
      </w:r>
    </w:p>
    <w:p w14:paraId="1E6C5BAF">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2.乙方应及时调整不适应工作需求的物业管理人员及其员工。如甲方认为该员工不能胜任本职工作的，必须调整。</w:t>
      </w:r>
    </w:p>
    <w:p w14:paraId="753DD721">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p>
    <w:p w14:paraId="77F735C0">
      <w:pPr>
        <w:pStyle w:val="47"/>
        <w:keepNext w:val="0"/>
        <w:keepLines w:val="0"/>
        <w:pageBreakBefore w:val="0"/>
        <w:widowControl w:val="0"/>
        <w:kinsoku/>
        <w:wordWrap/>
        <w:overflowPunct/>
        <w:topLinePunct w:val="0"/>
        <w:autoSpaceDE/>
        <w:autoSpaceDN/>
        <w:bidi w:val="0"/>
        <w:adjustRightInd/>
        <w:snapToGrid/>
        <w:spacing w:after="181" w:afterLines="50" w:line="360" w:lineRule="auto"/>
        <w:ind w:left="0" w:leftChars="0" w:firstLine="480" w:firstLineChars="200"/>
        <w:textAlignment w:val="auto"/>
        <w:rPr>
          <w:rFonts w:hint="eastAsia" w:ascii="仿宋" w:hAnsi="仿宋" w:eastAsia="仿宋" w:cs="仿宋"/>
          <w:b w:val="0"/>
          <w:color w:val="000000"/>
          <w:sz w:val="24"/>
          <w:szCs w:val="22"/>
          <w:lang w:val="en-US" w:eastAsia="zh-CN" w:bidi="ar-SA"/>
        </w:rPr>
      </w:pPr>
      <w:r>
        <w:rPr>
          <w:rFonts w:hint="eastAsia" w:ascii="仿宋" w:hAnsi="仿宋" w:eastAsia="仿宋" w:cs="仿宋"/>
          <w:b w:val="0"/>
          <w:color w:val="000000"/>
          <w:sz w:val="24"/>
          <w:szCs w:val="22"/>
          <w:lang w:val="en-US" w:eastAsia="zh-CN" w:bidi="ar-SA"/>
        </w:rPr>
        <w:t>4.乙方应主动积极地与业主共同组建义务消防队，对消防工作负有相关责任。同时负责区域内的节能减排相关工作。</w:t>
      </w:r>
    </w:p>
    <w:p w14:paraId="5A9CFA5A">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（三）违约责任</w:t>
      </w:r>
    </w:p>
    <w:p w14:paraId="552B1570">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1.乙方的违约责任</w:t>
      </w:r>
    </w:p>
    <w:p w14:paraId="63FE5AD5">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1）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14:paraId="69E5A2AD">
      <w:pPr>
        <w:pStyle w:val="524"/>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（2）</w:t>
      </w:r>
      <w:r>
        <w:rPr>
          <w:rStyle w:val="42"/>
          <w:rFonts w:hint="eastAsia" w:ascii="仿宋" w:hAnsi="仿宋" w:eastAsia="仿宋" w:cs="仿宋"/>
          <w:b w:val="0"/>
          <w:bCs w:val="0"/>
          <w:sz w:val="24"/>
          <w:szCs w:val="24"/>
          <w:lang w:val="en-US" w:eastAsia="zh-CN"/>
        </w:rPr>
        <w:t>本项目不得转让分包，如有发生，无条件清理退场，所造成的一切损失由乙方负责。</w:t>
      </w:r>
    </w:p>
    <w:p w14:paraId="603D8A94">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（3）乙方应执行国家有关规定（如宿迁市最低工资标准和其他规定），负责乙方员工的生病、事故、伤残、死亡和劳务纠纷，甲方不承担任何相关责任。</w:t>
      </w:r>
    </w:p>
    <w:p w14:paraId="4E24719A">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default" w:ascii="仿宋" w:hAnsi="仿宋" w:eastAsia="仿宋" w:cs="仿宋"/>
          <w:color w:val="000000"/>
          <w:sz w:val="24"/>
          <w:lang w:val="en-US" w:eastAsia="zh-CN"/>
        </w:rPr>
      </w:pPr>
      <w:r>
        <w:rPr>
          <w:rFonts w:hint="eastAsia" w:ascii="仿宋" w:hAnsi="仿宋" w:eastAsia="仿宋" w:cs="仿宋"/>
          <w:color w:val="000000"/>
          <w:sz w:val="24"/>
        </w:rPr>
        <w:t>（4）</w:t>
      </w:r>
      <w:r>
        <w:rPr>
          <w:rStyle w:val="42"/>
          <w:rFonts w:hint="eastAsia" w:ascii="仿宋" w:hAnsi="仿宋" w:eastAsia="仿宋" w:cs="仿宋"/>
          <w:b w:val="0"/>
          <w:bCs w:val="0"/>
          <w:sz w:val="24"/>
          <w:szCs w:val="24"/>
          <w:lang w:val="en-US" w:eastAsia="zh-CN"/>
        </w:rPr>
        <w:t>非因甲方原因，乙方不履行本合同规定的义务，致使工期延误，甲方有权要求其强制履行或解除合同，并要求乙方等额赔偿由此造成的一切损失。</w:t>
      </w:r>
    </w:p>
    <w:p w14:paraId="6A338C4E">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（5）乙方负有对自己员工的安全责任，甲方不承担任何相关责任。</w:t>
      </w:r>
    </w:p>
    <w:p w14:paraId="0395DC6B">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（6）在服务期间，乙方拟派的服务人员不符合招标文件及本合同规定的服务内容及要求的，甲方有权要求乙方更换人员。</w:t>
      </w:r>
    </w:p>
    <w:p w14:paraId="4BFBDD9A">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2.甲方违约责任</w:t>
      </w:r>
    </w:p>
    <w:p w14:paraId="7CAD4EFC">
      <w:pPr>
        <w:keepNext w:val="0"/>
        <w:keepLines w:val="0"/>
        <w:pageBreakBefore w:val="0"/>
        <w:widowControl w:val="0"/>
        <w:kinsoku/>
        <w:wordWrap/>
        <w:overflowPunct/>
        <w:topLinePunct w:val="0"/>
        <w:autoSpaceDE/>
        <w:autoSpaceDN/>
        <w:bidi w:val="0"/>
        <w:adjustRightInd/>
        <w:snapToGrid/>
        <w:spacing w:after="181" w:afterLines="50" w:line="360" w:lineRule="auto"/>
        <w:ind w:firstLine="480" w:firstLineChars="200"/>
        <w:textAlignment w:val="auto"/>
        <w:rPr>
          <w:rFonts w:hint="eastAsia" w:ascii="仿宋" w:hAnsi="仿宋" w:eastAsia="仿宋" w:cs="仿宋"/>
          <w:color w:val="000000"/>
          <w:sz w:val="24"/>
          <w:lang w:val="en-US" w:eastAsia="zh-CN"/>
        </w:rPr>
      </w:pPr>
      <w:r>
        <w:rPr>
          <w:rFonts w:hint="eastAsia" w:ascii="仿宋" w:hAnsi="仿宋" w:eastAsia="仿宋" w:cs="仿宋"/>
          <w:color w:val="000000"/>
          <w:sz w:val="24"/>
        </w:rPr>
        <w:t>乙方按合同履约，甲方不按期付款应向乙方偿付违约金，每逾期一天，按合同价格的万分之一偿付违约金。</w:t>
      </w:r>
    </w:p>
    <w:p w14:paraId="79C9AFE3">
      <w:pPr>
        <w:pStyle w:val="189"/>
        <w:spacing w:line="480" w:lineRule="exact"/>
        <w:ind w:firstLine="241"/>
        <w:rPr>
          <w:rFonts w:hint="eastAsia" w:ascii="仿宋" w:hAnsi="仿宋" w:eastAsia="仿宋" w:cs="仿宋"/>
          <w:b/>
          <w:sz w:val="24"/>
          <w:lang w:val="en-US" w:eastAsia="zh-CN"/>
        </w:rPr>
      </w:pPr>
      <w:r>
        <w:rPr>
          <w:rFonts w:hint="eastAsia" w:ascii="仿宋" w:hAnsi="仿宋" w:eastAsia="仿宋" w:cs="仿宋"/>
          <w:b/>
          <w:sz w:val="24"/>
          <w:lang w:val="en-US" w:eastAsia="zh-CN"/>
        </w:rPr>
        <w:t>九、知识产权</w:t>
      </w:r>
    </w:p>
    <w:p w14:paraId="49C32324">
      <w:pPr>
        <w:pStyle w:val="490"/>
        <w:spacing w:line="480" w:lineRule="exact"/>
        <w:ind w:firstLine="480"/>
        <w:rPr>
          <w:rFonts w:hint="eastAsia" w:ascii="仿宋" w:hAnsi="仿宋" w:eastAsia="仿宋" w:cs="仿宋"/>
          <w:sz w:val="24"/>
        </w:rPr>
      </w:pPr>
      <w:r>
        <w:rPr>
          <w:rFonts w:hint="eastAsia" w:ascii="仿宋" w:hAnsi="仿宋" w:eastAsia="仿宋" w:cs="仿宋"/>
          <w:sz w:val="24"/>
        </w:rPr>
        <w:t>乙方应保证甲方免除并承担由于甲方在其本国使用该项目时而引起第三方提出的侵犯专利权、知识产权或设计权的起诉、行政程序索赔、请求等以及甲方为此而产生的损失和损害、费用和支出（包括律师费）。</w:t>
      </w:r>
    </w:p>
    <w:p w14:paraId="77656E4D">
      <w:pPr>
        <w:pStyle w:val="189"/>
        <w:spacing w:line="480" w:lineRule="exact"/>
        <w:ind w:firstLine="241"/>
        <w:rPr>
          <w:rFonts w:hint="eastAsia" w:ascii="仿宋" w:hAnsi="仿宋" w:eastAsia="仿宋" w:cs="仿宋"/>
          <w:b/>
          <w:sz w:val="24"/>
          <w:lang w:val="en-US" w:eastAsia="zh-CN"/>
        </w:rPr>
      </w:pPr>
      <w:r>
        <w:rPr>
          <w:rFonts w:hint="eastAsia" w:ascii="仿宋" w:hAnsi="仿宋" w:eastAsia="仿宋" w:cs="仿宋"/>
          <w:b/>
          <w:sz w:val="24"/>
          <w:lang w:val="en-US" w:eastAsia="zh-CN"/>
        </w:rPr>
        <w:t>十、合同生效及审核</w:t>
      </w:r>
    </w:p>
    <w:p w14:paraId="7E1CAC3A">
      <w:pPr>
        <w:pStyle w:val="189"/>
        <w:spacing w:line="480" w:lineRule="exact"/>
        <w:ind w:firstLine="480"/>
        <w:rPr>
          <w:rFonts w:hint="eastAsia" w:ascii="仿宋" w:hAnsi="仿宋" w:eastAsia="仿宋" w:cs="仿宋"/>
          <w:sz w:val="24"/>
        </w:rPr>
      </w:pPr>
      <w:r>
        <w:rPr>
          <w:rFonts w:hint="eastAsia" w:ascii="仿宋" w:hAnsi="仿宋" w:eastAsia="仿宋" w:cs="仿宋"/>
          <w:sz w:val="24"/>
        </w:rPr>
        <w:t>本合同经甲方、乙方签字盖章后生效，政府采购科审核盖章后实施，合同签订的内容不能超出</w:t>
      </w:r>
      <w:r>
        <w:rPr>
          <w:rFonts w:hint="eastAsia" w:ascii="仿宋" w:hAnsi="仿宋" w:eastAsia="仿宋" w:cs="仿宋"/>
          <w:sz w:val="24"/>
          <w:lang w:eastAsia="zh-CN"/>
        </w:rPr>
        <w:t>磋商文件</w:t>
      </w:r>
      <w:r>
        <w:rPr>
          <w:rFonts w:hint="eastAsia" w:ascii="仿宋" w:hAnsi="仿宋" w:eastAsia="仿宋" w:cs="仿宋"/>
          <w:sz w:val="24"/>
        </w:rPr>
        <w:t>和</w:t>
      </w:r>
      <w:r>
        <w:rPr>
          <w:rFonts w:hint="eastAsia" w:ascii="仿宋" w:hAnsi="仿宋" w:eastAsia="仿宋" w:cs="仿宋"/>
          <w:sz w:val="24"/>
          <w:lang w:val="en-US" w:eastAsia="zh-CN"/>
        </w:rPr>
        <w:t>响应</w:t>
      </w:r>
      <w:r>
        <w:rPr>
          <w:rFonts w:hint="eastAsia" w:ascii="仿宋" w:hAnsi="仿宋" w:eastAsia="仿宋" w:cs="仿宋"/>
          <w:sz w:val="24"/>
        </w:rPr>
        <w:t>文件的实质性内容。</w:t>
      </w:r>
    </w:p>
    <w:p w14:paraId="65E3EAE8">
      <w:pPr>
        <w:pStyle w:val="189"/>
        <w:spacing w:line="480" w:lineRule="exact"/>
        <w:ind w:firstLine="241"/>
        <w:rPr>
          <w:rFonts w:hint="eastAsia" w:ascii="仿宋" w:hAnsi="仿宋" w:eastAsia="仿宋" w:cs="仿宋"/>
          <w:b/>
          <w:sz w:val="24"/>
          <w:lang w:val="en-US" w:eastAsia="zh-CN"/>
        </w:rPr>
      </w:pPr>
      <w:r>
        <w:rPr>
          <w:rFonts w:hint="eastAsia" w:ascii="仿宋" w:hAnsi="仿宋" w:eastAsia="仿宋" w:cs="仿宋"/>
          <w:b/>
          <w:sz w:val="24"/>
          <w:lang w:val="en-US" w:eastAsia="zh-CN"/>
        </w:rPr>
        <w:t>十一、合同的组成部分</w:t>
      </w:r>
    </w:p>
    <w:p w14:paraId="47726232">
      <w:pPr>
        <w:pStyle w:val="189"/>
        <w:spacing w:line="480" w:lineRule="exact"/>
        <w:ind w:firstLine="480"/>
        <w:rPr>
          <w:rFonts w:hint="eastAsia" w:ascii="仿宋" w:hAnsi="仿宋" w:eastAsia="仿宋" w:cs="仿宋"/>
          <w:sz w:val="24"/>
        </w:rPr>
      </w:pPr>
      <w:r>
        <w:rPr>
          <w:rFonts w:hint="eastAsia" w:ascii="仿宋" w:hAnsi="仿宋" w:eastAsia="仿宋" w:cs="仿宋"/>
          <w:sz w:val="24"/>
        </w:rPr>
        <w:t>本合同条款、中标通知书、招标（谈判）文件、投（竞）标文件及投（竞）标人在开标时的书面承诺等构成合同的组成部分。</w:t>
      </w:r>
    </w:p>
    <w:p w14:paraId="15AAFCCC">
      <w:pPr>
        <w:pStyle w:val="189"/>
        <w:spacing w:line="480" w:lineRule="exact"/>
        <w:ind w:firstLine="480"/>
        <w:rPr>
          <w:rFonts w:hint="eastAsia" w:ascii="仿宋" w:hAnsi="仿宋" w:eastAsia="仿宋" w:cs="仿宋"/>
          <w:sz w:val="24"/>
        </w:rPr>
      </w:pPr>
      <w:r>
        <w:rPr>
          <w:rFonts w:hint="eastAsia" w:ascii="仿宋" w:hAnsi="仿宋" w:eastAsia="仿宋" w:cs="仿宋"/>
          <w:sz w:val="24"/>
          <w:lang w:val="en-US" w:eastAsia="zh-CN"/>
        </w:rPr>
        <w:t>（一）</w:t>
      </w:r>
      <w:r>
        <w:rPr>
          <w:rFonts w:hint="eastAsia" w:ascii="仿宋" w:hAnsi="仿宋" w:eastAsia="仿宋" w:cs="仿宋"/>
          <w:sz w:val="24"/>
        </w:rPr>
        <w:t>、本合同一式</w:t>
      </w:r>
      <w:r>
        <w:rPr>
          <w:rFonts w:hint="eastAsia" w:ascii="仿宋" w:hAnsi="仿宋" w:eastAsia="仿宋" w:cs="仿宋"/>
          <w:sz w:val="24"/>
          <w:lang w:val="en-US" w:eastAsia="zh-CN"/>
        </w:rPr>
        <w:t>六</w:t>
      </w:r>
      <w:r>
        <w:rPr>
          <w:rFonts w:hint="eastAsia" w:ascii="仿宋" w:hAnsi="仿宋" w:eastAsia="仿宋" w:cs="仿宋"/>
          <w:sz w:val="24"/>
        </w:rPr>
        <w:t>份，以中文书写，甲方、乙方</w:t>
      </w:r>
      <w:r>
        <w:rPr>
          <w:rFonts w:hint="eastAsia" w:ascii="仿宋" w:hAnsi="仿宋" w:eastAsia="仿宋" w:cs="仿宋"/>
          <w:sz w:val="24"/>
          <w:lang w:eastAsia="zh-CN"/>
        </w:rPr>
        <w:t>、</w:t>
      </w:r>
      <w:r>
        <w:rPr>
          <w:rFonts w:hint="eastAsia" w:ascii="仿宋" w:hAnsi="仿宋" w:eastAsia="仿宋" w:cs="仿宋"/>
          <w:sz w:val="24"/>
        </w:rPr>
        <w:t>代理机构各</w:t>
      </w:r>
      <w:r>
        <w:rPr>
          <w:rFonts w:hint="eastAsia" w:ascii="仿宋" w:hAnsi="仿宋" w:eastAsia="仿宋" w:cs="仿宋"/>
          <w:sz w:val="24"/>
          <w:lang w:val="en-US" w:eastAsia="zh-CN"/>
        </w:rPr>
        <w:t>两</w:t>
      </w:r>
      <w:r>
        <w:rPr>
          <w:rFonts w:hint="eastAsia" w:ascii="仿宋" w:hAnsi="仿宋" w:eastAsia="仿宋" w:cs="仿宋"/>
          <w:sz w:val="24"/>
        </w:rPr>
        <w:t>份。</w:t>
      </w:r>
    </w:p>
    <w:p w14:paraId="52AADCF4">
      <w:pPr>
        <w:pStyle w:val="189"/>
        <w:spacing w:line="480" w:lineRule="exact"/>
        <w:ind w:firstLine="48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二</w:t>
      </w:r>
      <w:r>
        <w:rPr>
          <w:rFonts w:hint="eastAsia" w:ascii="仿宋" w:hAnsi="仿宋" w:eastAsia="仿宋" w:cs="仿宋"/>
          <w:sz w:val="24"/>
          <w:lang w:eastAsia="zh-CN"/>
        </w:rPr>
        <w:t>）</w:t>
      </w:r>
      <w:r>
        <w:rPr>
          <w:rFonts w:hint="eastAsia" w:ascii="仿宋" w:hAnsi="仿宋" w:eastAsia="仿宋" w:cs="仿宋"/>
          <w:b/>
          <w:sz w:val="24"/>
        </w:rPr>
        <w:t>、</w:t>
      </w:r>
      <w:r>
        <w:rPr>
          <w:rFonts w:hint="eastAsia" w:ascii="仿宋" w:hAnsi="仿宋" w:eastAsia="仿宋" w:cs="仿宋"/>
          <w:sz w:val="24"/>
        </w:rPr>
        <w:t>本合同一切未尽事宜，按</w:t>
      </w:r>
      <w:r>
        <w:rPr>
          <w:rFonts w:hint="eastAsia" w:ascii="仿宋" w:hAnsi="仿宋" w:eastAsia="仿宋" w:cs="仿宋"/>
          <w:sz w:val="24"/>
          <w:lang w:eastAsia="zh-CN"/>
        </w:rPr>
        <w:t>《中华人民共和国民法典》</w:t>
      </w:r>
      <w:r>
        <w:rPr>
          <w:rFonts w:hint="eastAsia" w:ascii="仿宋" w:hAnsi="仿宋" w:eastAsia="仿宋" w:cs="仿宋"/>
          <w:sz w:val="24"/>
        </w:rPr>
        <w:t>有关规定执行，无相关规定的，由甲乙双方协商解决。</w:t>
      </w:r>
    </w:p>
    <w:p w14:paraId="0D3C1C05">
      <w:pPr>
        <w:pStyle w:val="189"/>
        <w:spacing w:line="480" w:lineRule="exact"/>
        <w:ind w:firstLine="1982"/>
        <w:rPr>
          <w:rFonts w:hint="eastAsia" w:ascii="仿宋" w:hAnsi="仿宋" w:eastAsia="仿宋" w:cs="仿宋"/>
          <w:sz w:val="24"/>
        </w:rPr>
      </w:pPr>
    </w:p>
    <w:p w14:paraId="3EF55F1A">
      <w:pPr>
        <w:rPr>
          <w:rFonts w:hint="eastAsia" w:ascii="仿宋" w:hAnsi="仿宋" w:eastAsia="仿宋" w:cs="仿宋"/>
          <w:b/>
          <w:sz w:val="32"/>
        </w:rPr>
      </w:pPr>
      <w:r>
        <w:rPr>
          <w:rFonts w:hint="eastAsia" w:ascii="仿宋" w:hAnsi="仿宋" w:eastAsia="仿宋" w:cs="仿宋"/>
          <w:b/>
          <w:sz w:val="32"/>
        </w:rPr>
        <w:br w:type="page"/>
      </w:r>
    </w:p>
    <w:p w14:paraId="1D8857C8">
      <w:pPr>
        <w:pStyle w:val="189"/>
        <w:spacing w:line="480" w:lineRule="exact"/>
        <w:ind w:firstLine="3296"/>
        <w:rPr>
          <w:rFonts w:hint="eastAsia" w:ascii="仿宋" w:hAnsi="仿宋" w:eastAsia="仿宋" w:cs="仿宋"/>
          <w:b/>
          <w:sz w:val="32"/>
        </w:rPr>
      </w:pPr>
      <w:r>
        <w:rPr>
          <w:rFonts w:hint="eastAsia" w:ascii="仿宋" w:hAnsi="仿宋" w:eastAsia="仿宋" w:cs="仿宋"/>
          <w:b/>
          <w:sz w:val="32"/>
        </w:rPr>
        <w:t>通用条款</w:t>
      </w:r>
    </w:p>
    <w:p w14:paraId="1CE276FF">
      <w:pPr>
        <w:pStyle w:val="189"/>
        <w:spacing w:line="480" w:lineRule="exact"/>
        <w:ind w:firstLine="475"/>
        <w:rPr>
          <w:rFonts w:hint="eastAsia" w:ascii="仿宋" w:hAnsi="仿宋" w:eastAsia="仿宋" w:cs="仿宋"/>
          <w:b/>
          <w:sz w:val="24"/>
        </w:rPr>
      </w:pPr>
      <w:r>
        <w:rPr>
          <w:rFonts w:hint="eastAsia" w:ascii="仿宋" w:hAnsi="仿宋" w:eastAsia="仿宋" w:cs="仿宋"/>
          <w:b/>
          <w:sz w:val="24"/>
        </w:rPr>
        <w:t>十</w:t>
      </w:r>
      <w:r>
        <w:rPr>
          <w:rFonts w:hint="eastAsia" w:ascii="仿宋" w:hAnsi="仿宋" w:eastAsia="仿宋" w:cs="仿宋"/>
          <w:b/>
          <w:sz w:val="24"/>
          <w:lang w:val="en-US" w:eastAsia="zh-CN"/>
        </w:rPr>
        <w:t>二</w:t>
      </w:r>
      <w:r>
        <w:rPr>
          <w:rFonts w:hint="eastAsia" w:ascii="仿宋" w:hAnsi="仿宋" w:eastAsia="仿宋" w:cs="仿宋"/>
          <w:b/>
          <w:sz w:val="24"/>
        </w:rPr>
        <w:t>、词语涵义</w:t>
      </w:r>
    </w:p>
    <w:p w14:paraId="0073862D">
      <w:pPr>
        <w:pStyle w:val="189"/>
        <w:spacing w:line="480" w:lineRule="exact"/>
        <w:ind w:firstLine="480"/>
        <w:rPr>
          <w:rFonts w:hint="eastAsia" w:ascii="仿宋" w:hAnsi="仿宋" w:eastAsia="仿宋" w:cs="仿宋"/>
          <w:sz w:val="24"/>
        </w:rPr>
      </w:pPr>
      <w:r>
        <w:rPr>
          <w:rFonts w:hint="eastAsia" w:ascii="仿宋" w:hAnsi="仿宋" w:eastAsia="仿宋" w:cs="仿宋"/>
          <w:sz w:val="24"/>
        </w:rPr>
        <w:t>（一）合同：甲乙双方签署的、合同格式中载明的甲方与乙方所达成的协议，包括所有的附件、附录和构成合同的所有文件。</w:t>
      </w:r>
    </w:p>
    <w:p w14:paraId="4087C1E9">
      <w:pPr>
        <w:pStyle w:val="189"/>
        <w:spacing w:line="480" w:lineRule="exact"/>
        <w:ind w:firstLine="480"/>
        <w:rPr>
          <w:rFonts w:hint="eastAsia" w:ascii="仿宋" w:hAnsi="仿宋" w:eastAsia="仿宋" w:cs="仿宋"/>
          <w:sz w:val="24"/>
        </w:rPr>
      </w:pPr>
      <w:r>
        <w:rPr>
          <w:rFonts w:hint="eastAsia" w:ascii="仿宋" w:hAnsi="仿宋" w:eastAsia="仿宋" w:cs="仿宋"/>
          <w:sz w:val="24"/>
        </w:rPr>
        <w:t>（二）合同价：根据合同规定，乙方在正确地完全履行合同义务后甲方应支付给乙方的价格。</w:t>
      </w:r>
    </w:p>
    <w:p w14:paraId="038BE25A">
      <w:pPr>
        <w:pStyle w:val="189"/>
        <w:spacing w:line="480" w:lineRule="exact"/>
        <w:ind w:firstLine="480"/>
        <w:rPr>
          <w:rFonts w:hint="eastAsia" w:ascii="仿宋" w:hAnsi="仿宋" w:eastAsia="仿宋" w:cs="仿宋"/>
          <w:sz w:val="24"/>
        </w:rPr>
      </w:pPr>
      <w:r>
        <w:rPr>
          <w:rFonts w:hint="eastAsia" w:ascii="仿宋" w:hAnsi="仿宋" w:eastAsia="仿宋" w:cs="仿宋"/>
          <w:sz w:val="24"/>
        </w:rPr>
        <w:t>（三）货物：乙方根据合同规定须向甲方提供的一切产品、机械、仪表、备件、工具、手册和其他技术资料及其他材料。</w:t>
      </w:r>
    </w:p>
    <w:p w14:paraId="296803B0">
      <w:pPr>
        <w:pStyle w:val="189"/>
        <w:spacing w:line="480" w:lineRule="exact"/>
        <w:ind w:firstLine="480"/>
        <w:rPr>
          <w:rFonts w:hint="eastAsia" w:ascii="仿宋" w:hAnsi="仿宋" w:eastAsia="仿宋" w:cs="仿宋"/>
          <w:sz w:val="24"/>
        </w:rPr>
      </w:pPr>
      <w:r>
        <w:rPr>
          <w:rFonts w:hint="eastAsia" w:ascii="仿宋" w:hAnsi="仿宋" w:eastAsia="仿宋" w:cs="仿宋"/>
          <w:sz w:val="24"/>
        </w:rPr>
        <w:t>（四）服务：根据合同规定乙方承担与供货有关的辅助服务，如运输、保险以及其它的伴随服务，比如安装、调试、提供技术援助、培训和其他类似的乙方应承担的义务。</w:t>
      </w:r>
    </w:p>
    <w:p w14:paraId="61AAE7ED">
      <w:pPr>
        <w:pStyle w:val="189"/>
        <w:widowControl/>
        <w:spacing w:before="19" w:line="480" w:lineRule="exact"/>
        <w:ind w:firstLine="480"/>
        <w:rPr>
          <w:rFonts w:hint="eastAsia" w:ascii="仿宋" w:hAnsi="仿宋" w:eastAsia="仿宋" w:cs="仿宋"/>
          <w:sz w:val="24"/>
        </w:rPr>
      </w:pPr>
      <w:r>
        <w:rPr>
          <w:rFonts w:hint="eastAsia" w:ascii="仿宋" w:hAnsi="仿宋" w:eastAsia="仿宋" w:cs="仿宋"/>
          <w:sz w:val="24"/>
        </w:rPr>
        <w:t>（五）甲方：采购单位，即</w:t>
      </w:r>
      <w:r>
        <w:rPr>
          <w:rFonts w:hint="eastAsia" w:ascii="仿宋" w:hAnsi="仿宋" w:eastAsia="仿宋" w:cs="仿宋"/>
          <w:sz w:val="24"/>
          <w:u w:val="single"/>
          <w:lang w:eastAsia="zh-CN"/>
        </w:rPr>
        <w:t>泗洪县机关事务管理中心</w:t>
      </w:r>
      <w:r>
        <w:rPr>
          <w:rFonts w:hint="eastAsia" w:ascii="仿宋" w:hAnsi="仿宋" w:eastAsia="仿宋" w:cs="仿宋"/>
          <w:sz w:val="24"/>
        </w:rPr>
        <w:t>。</w:t>
      </w:r>
    </w:p>
    <w:p w14:paraId="108E1B35">
      <w:pPr>
        <w:pStyle w:val="189"/>
        <w:spacing w:line="480" w:lineRule="exact"/>
        <w:ind w:firstLine="480"/>
        <w:rPr>
          <w:rFonts w:hint="eastAsia" w:ascii="仿宋" w:hAnsi="仿宋" w:eastAsia="仿宋" w:cs="仿宋"/>
          <w:sz w:val="24"/>
        </w:rPr>
      </w:pPr>
      <w:r>
        <w:rPr>
          <w:rFonts w:hint="eastAsia" w:ascii="仿宋" w:hAnsi="仿宋" w:eastAsia="仿宋" w:cs="仿宋"/>
          <w:sz w:val="24"/>
        </w:rPr>
        <w:t>（六）乙方：提供货物和服务的公司或实体，即</w:t>
      </w:r>
      <w:r>
        <w:rPr>
          <w:rFonts w:hint="eastAsia" w:ascii="仿宋" w:hAnsi="仿宋" w:eastAsia="仿宋" w:cs="仿宋"/>
          <w:sz w:val="24"/>
          <w:u w:val="single"/>
          <w:lang w:val="en-US" w:eastAsia="zh-CN"/>
        </w:rPr>
        <w:t xml:space="preserve">           </w:t>
      </w:r>
      <w:r>
        <w:rPr>
          <w:rFonts w:hint="eastAsia" w:ascii="仿宋" w:hAnsi="仿宋" w:eastAsia="仿宋" w:cs="仿宋"/>
          <w:sz w:val="24"/>
        </w:rPr>
        <w:t>。</w:t>
      </w:r>
    </w:p>
    <w:p w14:paraId="1D924179">
      <w:pPr>
        <w:pStyle w:val="189"/>
        <w:spacing w:line="480" w:lineRule="exact"/>
        <w:ind w:firstLine="480"/>
        <w:rPr>
          <w:rFonts w:hint="eastAsia" w:ascii="仿宋" w:hAnsi="仿宋" w:eastAsia="仿宋" w:cs="仿宋"/>
          <w:sz w:val="24"/>
        </w:rPr>
      </w:pPr>
      <w:r>
        <w:rPr>
          <w:rFonts w:hint="eastAsia" w:ascii="仿宋" w:hAnsi="仿宋" w:eastAsia="仿宋" w:cs="仿宋"/>
          <w:sz w:val="24"/>
        </w:rPr>
        <w:t>（七）不可抗力：指</w:t>
      </w:r>
      <w:r>
        <w:rPr>
          <w:rFonts w:hint="eastAsia" w:ascii="仿宋" w:hAnsi="仿宋" w:eastAsia="仿宋" w:cs="仿宋"/>
          <w:color w:val="000000"/>
          <w:spacing w:val="8"/>
          <w:sz w:val="24"/>
        </w:rPr>
        <w:t>不能预见、不能避免和不能克服的客观情况，</w:t>
      </w:r>
      <w:r>
        <w:rPr>
          <w:rFonts w:hint="eastAsia" w:ascii="仿宋" w:hAnsi="仿宋" w:eastAsia="仿宋" w:cs="仿宋"/>
          <w:sz w:val="24"/>
        </w:rPr>
        <w:t>如战争、动乱、空中飞行物体坠落或其它非甲乙方责任造成的爆炸、火灾，以及协议条款约定等级以上的风、雨、雪、地震等。</w:t>
      </w:r>
    </w:p>
    <w:p w14:paraId="36FA295C">
      <w:pPr>
        <w:pStyle w:val="189"/>
        <w:spacing w:line="480" w:lineRule="exact"/>
        <w:ind w:firstLine="480"/>
        <w:rPr>
          <w:rFonts w:hint="eastAsia" w:ascii="仿宋" w:hAnsi="仿宋" w:eastAsia="仿宋" w:cs="仿宋"/>
          <w:sz w:val="24"/>
        </w:rPr>
      </w:pPr>
    </w:p>
    <w:p w14:paraId="280BFBEA">
      <w:pPr>
        <w:pStyle w:val="189"/>
        <w:spacing w:line="480" w:lineRule="exact"/>
        <w:ind w:firstLine="475"/>
        <w:rPr>
          <w:rFonts w:hint="eastAsia" w:ascii="仿宋" w:hAnsi="仿宋" w:eastAsia="仿宋" w:cs="仿宋"/>
          <w:b/>
          <w:sz w:val="24"/>
        </w:rPr>
      </w:pPr>
      <w:r>
        <w:rPr>
          <w:rFonts w:hint="eastAsia" w:ascii="仿宋" w:hAnsi="仿宋" w:eastAsia="仿宋" w:cs="仿宋"/>
          <w:b/>
          <w:sz w:val="24"/>
        </w:rPr>
        <w:t>十</w:t>
      </w:r>
      <w:r>
        <w:rPr>
          <w:rFonts w:hint="eastAsia" w:ascii="仿宋" w:hAnsi="仿宋" w:eastAsia="仿宋" w:cs="仿宋"/>
          <w:b/>
          <w:sz w:val="24"/>
          <w:lang w:val="en-US" w:eastAsia="zh-CN"/>
        </w:rPr>
        <w:t>三</w:t>
      </w:r>
      <w:r>
        <w:rPr>
          <w:rFonts w:hint="eastAsia" w:ascii="仿宋" w:hAnsi="仿宋" w:eastAsia="仿宋" w:cs="仿宋"/>
          <w:b/>
          <w:sz w:val="24"/>
        </w:rPr>
        <w:t>、专利权</w:t>
      </w:r>
    </w:p>
    <w:p w14:paraId="7FC5CC29">
      <w:pPr>
        <w:pStyle w:val="189"/>
        <w:spacing w:line="480" w:lineRule="exact"/>
        <w:ind w:firstLine="480"/>
        <w:rPr>
          <w:rFonts w:hint="eastAsia" w:ascii="仿宋" w:hAnsi="仿宋" w:eastAsia="仿宋" w:cs="仿宋"/>
          <w:sz w:val="24"/>
        </w:rPr>
      </w:pPr>
      <w:r>
        <w:rPr>
          <w:rFonts w:hint="eastAsia" w:ascii="仿宋" w:hAnsi="仿宋" w:eastAsia="仿宋" w:cs="仿宋"/>
          <w:sz w:val="24"/>
        </w:rPr>
        <w:t>乙方应保证甲方在使用该货物或其任何一部分时不受第三方提出侵犯其专利权、商标权和工业设计权的起诉。一旦出现专利侵权，乙方应负全部责任。</w:t>
      </w:r>
    </w:p>
    <w:p w14:paraId="1109D25B">
      <w:pPr>
        <w:pStyle w:val="189"/>
        <w:spacing w:line="480" w:lineRule="exact"/>
        <w:ind w:firstLine="475"/>
        <w:rPr>
          <w:rFonts w:hint="eastAsia" w:ascii="仿宋" w:hAnsi="仿宋" w:eastAsia="仿宋" w:cs="仿宋"/>
          <w:b/>
          <w:sz w:val="24"/>
        </w:rPr>
      </w:pPr>
      <w:r>
        <w:rPr>
          <w:rFonts w:hint="eastAsia" w:ascii="仿宋" w:hAnsi="仿宋" w:eastAsia="仿宋" w:cs="仿宋"/>
          <w:b/>
          <w:sz w:val="24"/>
          <w:lang w:val="en-US" w:eastAsia="zh-CN"/>
        </w:rPr>
        <w:t>十四</w:t>
      </w:r>
      <w:r>
        <w:rPr>
          <w:rFonts w:hint="eastAsia" w:ascii="仿宋" w:hAnsi="仿宋" w:eastAsia="仿宋" w:cs="仿宋"/>
          <w:b/>
          <w:sz w:val="24"/>
        </w:rPr>
        <w:t>、误期赔偿</w:t>
      </w:r>
    </w:p>
    <w:p w14:paraId="47064392">
      <w:pPr>
        <w:pStyle w:val="189"/>
        <w:spacing w:line="480" w:lineRule="exact"/>
        <w:ind w:firstLine="477"/>
        <w:rPr>
          <w:rFonts w:hint="eastAsia" w:ascii="仿宋" w:hAnsi="仿宋" w:eastAsia="仿宋" w:cs="仿宋"/>
          <w:sz w:val="24"/>
        </w:rPr>
      </w:pPr>
      <w:r>
        <w:rPr>
          <w:rFonts w:hint="eastAsia" w:ascii="仿宋" w:hAnsi="仿宋" w:eastAsia="仿宋" w:cs="仿宋"/>
          <w:sz w:val="24"/>
        </w:rPr>
        <w:t>除合同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14:paraId="5F258530">
      <w:pPr>
        <w:pStyle w:val="189"/>
        <w:spacing w:line="480" w:lineRule="exact"/>
        <w:ind w:firstLine="479"/>
        <w:rPr>
          <w:rFonts w:hint="eastAsia" w:ascii="仿宋" w:hAnsi="仿宋" w:eastAsia="仿宋" w:cs="仿宋"/>
          <w:b/>
          <w:sz w:val="24"/>
        </w:rPr>
      </w:pPr>
      <w:r>
        <w:rPr>
          <w:rFonts w:hint="eastAsia" w:ascii="仿宋" w:hAnsi="仿宋" w:eastAsia="仿宋" w:cs="仿宋"/>
          <w:b/>
          <w:sz w:val="24"/>
        </w:rPr>
        <w:t>十</w:t>
      </w:r>
      <w:r>
        <w:rPr>
          <w:rFonts w:hint="eastAsia" w:ascii="仿宋" w:hAnsi="仿宋" w:eastAsia="仿宋" w:cs="仿宋"/>
          <w:b/>
          <w:sz w:val="24"/>
          <w:lang w:val="en-US" w:eastAsia="zh-CN"/>
        </w:rPr>
        <w:t>五</w:t>
      </w:r>
      <w:r>
        <w:rPr>
          <w:rFonts w:hint="eastAsia" w:ascii="仿宋" w:hAnsi="仿宋" w:eastAsia="仿宋" w:cs="仿宋"/>
          <w:b/>
          <w:sz w:val="24"/>
        </w:rPr>
        <w:t>、不可抗力</w:t>
      </w:r>
    </w:p>
    <w:p w14:paraId="5C8BE47E">
      <w:pPr>
        <w:pStyle w:val="189"/>
        <w:spacing w:line="480" w:lineRule="exact"/>
        <w:ind w:firstLine="480"/>
        <w:rPr>
          <w:rFonts w:hint="eastAsia" w:ascii="仿宋" w:hAnsi="仿宋" w:eastAsia="仿宋" w:cs="仿宋"/>
          <w:sz w:val="24"/>
        </w:rPr>
      </w:pPr>
      <w:r>
        <w:rPr>
          <w:rFonts w:hint="eastAsia" w:ascii="仿宋" w:hAnsi="仿宋" w:eastAsia="仿宋" w:cs="仿宋"/>
          <w:sz w:val="24"/>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397C8B07">
      <w:pPr>
        <w:pStyle w:val="189"/>
        <w:spacing w:line="480" w:lineRule="exact"/>
        <w:ind w:firstLine="475"/>
        <w:rPr>
          <w:rFonts w:hint="eastAsia" w:ascii="仿宋" w:hAnsi="仿宋" w:eastAsia="仿宋" w:cs="仿宋"/>
          <w:b/>
          <w:sz w:val="24"/>
        </w:rPr>
      </w:pPr>
      <w:r>
        <w:rPr>
          <w:rFonts w:hint="eastAsia" w:ascii="仿宋" w:hAnsi="仿宋" w:eastAsia="仿宋" w:cs="仿宋"/>
          <w:b/>
          <w:sz w:val="24"/>
        </w:rPr>
        <w:t>十</w:t>
      </w:r>
      <w:r>
        <w:rPr>
          <w:rFonts w:hint="eastAsia" w:ascii="仿宋" w:hAnsi="仿宋" w:eastAsia="仿宋" w:cs="仿宋"/>
          <w:b/>
          <w:sz w:val="24"/>
          <w:lang w:val="en-US" w:eastAsia="zh-CN"/>
        </w:rPr>
        <w:t>六</w:t>
      </w:r>
      <w:r>
        <w:rPr>
          <w:rFonts w:hint="eastAsia" w:ascii="仿宋" w:hAnsi="仿宋" w:eastAsia="仿宋" w:cs="仿宋"/>
          <w:b/>
          <w:sz w:val="24"/>
        </w:rPr>
        <w:t>、税费</w:t>
      </w:r>
    </w:p>
    <w:p w14:paraId="6BEE88FA">
      <w:pPr>
        <w:pStyle w:val="189"/>
        <w:spacing w:line="480" w:lineRule="exact"/>
        <w:ind w:firstLine="480"/>
        <w:rPr>
          <w:rFonts w:hint="eastAsia" w:ascii="仿宋" w:hAnsi="仿宋" w:eastAsia="仿宋" w:cs="仿宋"/>
          <w:sz w:val="24"/>
        </w:rPr>
      </w:pPr>
      <w:r>
        <w:rPr>
          <w:rFonts w:hint="eastAsia" w:ascii="仿宋" w:hAnsi="仿宋" w:eastAsia="仿宋" w:cs="仿宋"/>
          <w:sz w:val="24"/>
        </w:rPr>
        <w:t>中国政府根据现行税法规定对甲方征收的与本合同有关的一切税费由甲方负担；规定对乙方征收的与本合同有关的一切税费由乙方负担。</w:t>
      </w:r>
    </w:p>
    <w:p w14:paraId="551B342E">
      <w:pPr>
        <w:pStyle w:val="189"/>
        <w:spacing w:line="480" w:lineRule="exact"/>
        <w:ind w:firstLine="475"/>
        <w:rPr>
          <w:rFonts w:hint="eastAsia" w:ascii="仿宋" w:hAnsi="仿宋" w:eastAsia="仿宋" w:cs="仿宋"/>
          <w:b/>
          <w:sz w:val="24"/>
        </w:rPr>
      </w:pPr>
      <w:r>
        <w:rPr>
          <w:rFonts w:hint="eastAsia" w:ascii="仿宋" w:hAnsi="仿宋" w:eastAsia="仿宋" w:cs="仿宋"/>
          <w:b/>
          <w:sz w:val="24"/>
        </w:rPr>
        <w:t>十</w:t>
      </w:r>
      <w:r>
        <w:rPr>
          <w:rFonts w:hint="eastAsia" w:ascii="仿宋" w:hAnsi="仿宋" w:eastAsia="仿宋" w:cs="仿宋"/>
          <w:b/>
          <w:sz w:val="24"/>
          <w:lang w:val="en-US" w:eastAsia="zh-CN"/>
        </w:rPr>
        <w:t>七</w:t>
      </w:r>
      <w:r>
        <w:rPr>
          <w:rFonts w:hint="eastAsia" w:ascii="仿宋" w:hAnsi="仿宋" w:eastAsia="仿宋" w:cs="仿宋"/>
          <w:b/>
          <w:sz w:val="24"/>
        </w:rPr>
        <w:t>、合同争议</w:t>
      </w:r>
    </w:p>
    <w:p w14:paraId="58D6C638">
      <w:pPr>
        <w:pStyle w:val="189"/>
        <w:spacing w:line="480" w:lineRule="exact"/>
        <w:ind w:firstLine="480"/>
        <w:rPr>
          <w:rFonts w:hint="eastAsia" w:ascii="仿宋" w:hAnsi="仿宋" w:eastAsia="仿宋" w:cs="仿宋"/>
          <w:b/>
          <w:sz w:val="24"/>
        </w:rPr>
      </w:pPr>
      <w:r>
        <w:rPr>
          <w:rFonts w:hint="eastAsia" w:ascii="仿宋" w:hAnsi="仿宋" w:eastAsia="仿宋" w:cs="仿宋"/>
          <w:color w:val="000000"/>
          <w:sz w:val="24"/>
        </w:rPr>
        <w:t>甲乙双方应通过友好协商，解决在执行本合同中所发生的或与本合同有关的一切争议。如果协商仍得不到解决，任何一方均可按“中华人民共和国</w:t>
      </w:r>
      <w:r>
        <w:rPr>
          <w:rFonts w:hint="eastAsia" w:ascii="仿宋" w:hAnsi="仿宋" w:eastAsia="仿宋" w:cs="仿宋"/>
          <w:color w:val="000000"/>
          <w:sz w:val="24"/>
          <w:lang w:eastAsia="zh-CN"/>
        </w:rPr>
        <w:t>《中华人民共和国民法典》</w:t>
      </w:r>
      <w:r>
        <w:rPr>
          <w:rFonts w:hint="eastAsia" w:ascii="仿宋" w:hAnsi="仿宋" w:eastAsia="仿宋" w:cs="仿宋"/>
          <w:color w:val="000000"/>
          <w:sz w:val="24"/>
        </w:rPr>
        <w:t>”规定提交调解和仲裁。</w:t>
      </w:r>
    </w:p>
    <w:p w14:paraId="111A41EC">
      <w:pPr>
        <w:pStyle w:val="189"/>
        <w:spacing w:line="480" w:lineRule="exact"/>
        <w:ind w:firstLine="475"/>
        <w:rPr>
          <w:rFonts w:hint="eastAsia" w:ascii="仿宋" w:hAnsi="仿宋" w:eastAsia="仿宋" w:cs="仿宋"/>
          <w:b/>
          <w:sz w:val="24"/>
        </w:rPr>
      </w:pPr>
      <w:r>
        <w:rPr>
          <w:rFonts w:hint="eastAsia" w:ascii="仿宋" w:hAnsi="仿宋" w:eastAsia="仿宋" w:cs="仿宋"/>
          <w:b/>
          <w:sz w:val="24"/>
          <w:lang w:val="en-US" w:eastAsia="zh-CN"/>
        </w:rPr>
        <w:t>十八</w:t>
      </w:r>
      <w:r>
        <w:rPr>
          <w:rFonts w:hint="eastAsia" w:ascii="仿宋" w:hAnsi="仿宋" w:eastAsia="仿宋" w:cs="仿宋"/>
          <w:b/>
          <w:sz w:val="24"/>
        </w:rPr>
        <w:t>、适用法律</w:t>
      </w:r>
    </w:p>
    <w:p w14:paraId="7944C24E">
      <w:pPr>
        <w:pStyle w:val="189"/>
        <w:spacing w:line="480" w:lineRule="exact"/>
        <w:ind w:firstLine="480"/>
        <w:rPr>
          <w:rFonts w:hint="eastAsia" w:ascii="仿宋" w:hAnsi="仿宋" w:eastAsia="仿宋" w:cs="仿宋"/>
          <w:color w:val="000000"/>
          <w:sz w:val="24"/>
        </w:rPr>
      </w:pPr>
      <w:r>
        <w:rPr>
          <w:rFonts w:hint="eastAsia" w:ascii="仿宋" w:hAnsi="仿宋" w:eastAsia="仿宋" w:cs="仿宋"/>
          <w:sz w:val="24"/>
        </w:rPr>
        <w:t>本合同应按照中华人民共和国的现行法律进行解释。</w:t>
      </w:r>
    </w:p>
    <w:p w14:paraId="1D49C803">
      <w:pPr>
        <w:pStyle w:val="189"/>
        <w:spacing w:line="480" w:lineRule="exact"/>
        <w:ind w:firstLine="720"/>
        <w:rPr>
          <w:rFonts w:hint="eastAsia" w:ascii="仿宋" w:hAnsi="仿宋" w:eastAsia="仿宋" w:cs="仿宋"/>
          <w:sz w:val="24"/>
        </w:rPr>
      </w:pPr>
      <w:r>
        <w:rPr>
          <w:rFonts w:hint="eastAsia" w:ascii="仿宋" w:hAnsi="仿宋" w:eastAsia="仿宋" w:cs="仿宋"/>
          <w:sz w:val="24"/>
        </w:rPr>
        <w:t xml:space="preserve">甲方：（盖章）              </w:t>
      </w:r>
    </w:p>
    <w:p w14:paraId="0440B7FC">
      <w:pPr>
        <w:pStyle w:val="189"/>
        <w:spacing w:line="480" w:lineRule="exact"/>
        <w:ind w:firstLine="720"/>
        <w:rPr>
          <w:rFonts w:hint="eastAsia" w:ascii="仿宋" w:hAnsi="仿宋" w:eastAsia="仿宋" w:cs="仿宋"/>
          <w:sz w:val="24"/>
          <w:u w:val="single"/>
        </w:rPr>
      </w:pPr>
      <w:r>
        <w:rPr>
          <w:rFonts w:hint="eastAsia" w:ascii="仿宋" w:hAnsi="仿宋" w:eastAsia="仿宋" w:cs="仿宋"/>
          <w:sz w:val="24"/>
        </w:rPr>
        <w:t>地址：</w:t>
      </w:r>
    </w:p>
    <w:p w14:paraId="14E98852">
      <w:pPr>
        <w:pStyle w:val="189"/>
        <w:widowControl/>
        <w:spacing w:before="19" w:line="480" w:lineRule="exact"/>
        <w:ind w:firstLine="720"/>
        <w:rPr>
          <w:rFonts w:hint="eastAsia" w:ascii="仿宋" w:hAnsi="仿宋" w:eastAsia="仿宋" w:cs="仿宋"/>
          <w:sz w:val="24"/>
        </w:rPr>
      </w:pPr>
      <w:r>
        <w:rPr>
          <w:rFonts w:hint="eastAsia" w:ascii="仿宋" w:hAnsi="仿宋" w:eastAsia="仿宋" w:cs="仿宋"/>
          <w:sz w:val="24"/>
        </w:rPr>
        <w:t>法定（授权）代表人：</w:t>
      </w:r>
    </w:p>
    <w:p w14:paraId="56739536">
      <w:pPr>
        <w:pStyle w:val="189"/>
        <w:widowControl/>
        <w:spacing w:before="19" w:line="480" w:lineRule="exact"/>
        <w:ind w:firstLine="480"/>
        <w:rPr>
          <w:rFonts w:hint="eastAsia" w:ascii="仿宋" w:hAnsi="仿宋" w:eastAsia="仿宋" w:cs="仿宋"/>
          <w:sz w:val="24"/>
        </w:rPr>
      </w:pPr>
      <w:r>
        <w:rPr>
          <w:rFonts w:hint="eastAsia" w:ascii="仿宋" w:hAnsi="仿宋" w:eastAsia="仿宋" w:cs="仿宋"/>
          <w:sz w:val="24"/>
        </w:rPr>
        <w:t xml:space="preserve">  联系人：</w:t>
      </w:r>
    </w:p>
    <w:p w14:paraId="43E5257D">
      <w:pPr>
        <w:pStyle w:val="189"/>
        <w:widowControl/>
        <w:spacing w:before="19" w:line="480" w:lineRule="exact"/>
        <w:ind w:firstLine="720"/>
        <w:rPr>
          <w:rFonts w:hint="eastAsia" w:ascii="仿宋" w:hAnsi="仿宋" w:eastAsia="仿宋" w:cs="仿宋"/>
          <w:sz w:val="24"/>
        </w:rPr>
      </w:pPr>
      <w:r>
        <w:rPr>
          <w:rFonts w:hint="eastAsia" w:ascii="仿宋" w:hAnsi="仿宋" w:eastAsia="仿宋" w:cs="仿宋"/>
          <w:sz w:val="24"/>
        </w:rPr>
        <w:t>联系电话：</w:t>
      </w:r>
    </w:p>
    <w:p w14:paraId="5B9203E7">
      <w:pPr>
        <w:pStyle w:val="189"/>
        <w:widowControl/>
        <w:spacing w:before="19" w:line="480" w:lineRule="exact"/>
        <w:ind w:firstLine="688"/>
        <w:jc w:val="right"/>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eastAsia="zh-CN"/>
        </w:rPr>
        <w:t>二O二</w:t>
      </w:r>
      <w:r>
        <w:rPr>
          <w:rFonts w:hint="eastAsia" w:ascii="仿宋" w:hAnsi="仿宋" w:eastAsia="仿宋" w:cs="仿宋"/>
          <w:sz w:val="24"/>
          <w:lang w:val="en-US" w:eastAsia="zh-CN"/>
        </w:rPr>
        <w:t>六</w:t>
      </w:r>
      <w:r>
        <w:rPr>
          <w:rFonts w:hint="eastAsia" w:ascii="仿宋" w:hAnsi="仿宋" w:eastAsia="仿宋" w:cs="仿宋"/>
          <w:sz w:val="24"/>
        </w:rPr>
        <w:t>年</w:t>
      </w:r>
      <w:r>
        <w:rPr>
          <w:rFonts w:hint="eastAsia" w:ascii="仿宋" w:hAnsi="仿宋" w:eastAsia="仿宋" w:cs="仿宋"/>
          <w:sz w:val="24"/>
          <w:lang w:val="en-US" w:eastAsia="zh-CN"/>
        </w:rPr>
        <w:t xml:space="preserve"> </w:t>
      </w:r>
      <w:r>
        <w:rPr>
          <w:rFonts w:hint="eastAsia" w:ascii="仿宋" w:hAnsi="仿宋" w:eastAsia="仿宋" w:cs="仿宋"/>
          <w:sz w:val="24"/>
        </w:rPr>
        <w:t>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      </w:t>
      </w:r>
    </w:p>
    <w:p w14:paraId="1C3384E9">
      <w:pPr>
        <w:pStyle w:val="189"/>
        <w:spacing w:line="480" w:lineRule="exact"/>
        <w:ind w:firstLine="480"/>
        <w:rPr>
          <w:rFonts w:hint="eastAsia" w:ascii="仿宋" w:hAnsi="仿宋" w:eastAsia="仿宋" w:cs="仿宋"/>
          <w:sz w:val="24"/>
        </w:rPr>
      </w:pPr>
    </w:p>
    <w:p w14:paraId="54242288">
      <w:pPr>
        <w:pStyle w:val="189"/>
        <w:spacing w:line="480" w:lineRule="exact"/>
        <w:ind w:firstLine="480"/>
        <w:rPr>
          <w:rFonts w:hint="eastAsia" w:ascii="仿宋" w:hAnsi="仿宋" w:eastAsia="仿宋" w:cs="仿宋"/>
          <w:sz w:val="24"/>
        </w:rPr>
      </w:pPr>
      <w:r>
        <w:rPr>
          <w:rFonts w:hint="eastAsia" w:ascii="仿宋" w:hAnsi="仿宋" w:eastAsia="仿宋" w:cs="仿宋"/>
          <w:sz w:val="24"/>
        </w:rPr>
        <w:t xml:space="preserve">乙方：（盖章）              </w:t>
      </w:r>
    </w:p>
    <w:p w14:paraId="7793E7BA">
      <w:pPr>
        <w:pStyle w:val="189"/>
        <w:widowControl/>
        <w:spacing w:before="19" w:line="480" w:lineRule="exact"/>
        <w:ind w:firstLine="480"/>
        <w:rPr>
          <w:rFonts w:hint="eastAsia" w:ascii="仿宋" w:hAnsi="仿宋" w:eastAsia="仿宋" w:cs="仿宋"/>
          <w:sz w:val="24"/>
          <w:u w:val="single"/>
        </w:rPr>
      </w:pPr>
      <w:r>
        <w:rPr>
          <w:rFonts w:hint="eastAsia" w:ascii="仿宋" w:hAnsi="仿宋" w:eastAsia="仿宋" w:cs="仿宋"/>
          <w:sz w:val="24"/>
        </w:rPr>
        <w:t>地址：</w:t>
      </w:r>
    </w:p>
    <w:p w14:paraId="093BC48A">
      <w:pPr>
        <w:pStyle w:val="189"/>
        <w:widowControl/>
        <w:spacing w:before="19" w:line="480" w:lineRule="exact"/>
        <w:ind w:firstLine="480"/>
        <w:rPr>
          <w:rFonts w:hint="eastAsia" w:ascii="仿宋" w:hAnsi="仿宋" w:eastAsia="仿宋" w:cs="仿宋"/>
          <w:sz w:val="24"/>
        </w:rPr>
      </w:pPr>
      <w:r>
        <w:rPr>
          <w:rFonts w:hint="eastAsia" w:ascii="仿宋" w:hAnsi="仿宋" w:eastAsia="仿宋" w:cs="仿宋"/>
          <w:sz w:val="24"/>
        </w:rPr>
        <w:t>法定（授权）代表人：</w:t>
      </w:r>
    </w:p>
    <w:p w14:paraId="7B9F809F">
      <w:pPr>
        <w:pStyle w:val="189"/>
        <w:widowControl/>
        <w:spacing w:before="19" w:line="480" w:lineRule="exact"/>
        <w:ind w:firstLine="480"/>
        <w:rPr>
          <w:rFonts w:hint="eastAsia" w:ascii="仿宋" w:hAnsi="仿宋" w:eastAsia="仿宋" w:cs="仿宋"/>
          <w:sz w:val="24"/>
        </w:rPr>
      </w:pPr>
      <w:r>
        <w:rPr>
          <w:rFonts w:hint="eastAsia" w:ascii="仿宋" w:hAnsi="仿宋" w:eastAsia="仿宋" w:cs="仿宋"/>
          <w:sz w:val="24"/>
        </w:rPr>
        <w:t>联系人：</w:t>
      </w:r>
    </w:p>
    <w:p w14:paraId="0840D509">
      <w:pPr>
        <w:pStyle w:val="189"/>
        <w:widowControl/>
        <w:spacing w:before="19" w:line="480" w:lineRule="exact"/>
        <w:ind w:firstLine="480"/>
        <w:rPr>
          <w:rFonts w:hint="eastAsia" w:ascii="仿宋" w:hAnsi="仿宋" w:eastAsia="仿宋" w:cs="仿宋"/>
          <w:sz w:val="24"/>
        </w:rPr>
      </w:pPr>
      <w:r>
        <w:rPr>
          <w:rFonts w:hint="eastAsia" w:ascii="仿宋" w:hAnsi="仿宋" w:eastAsia="仿宋" w:cs="仿宋"/>
          <w:sz w:val="24"/>
        </w:rPr>
        <w:t>联系电话：</w:t>
      </w:r>
    </w:p>
    <w:p w14:paraId="038D6D49">
      <w:pPr>
        <w:jc w:val="righ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sz w:val="24"/>
          <w:lang w:eastAsia="zh-CN"/>
        </w:rPr>
        <w:t>二O二</w:t>
      </w:r>
      <w:r>
        <w:rPr>
          <w:rFonts w:hint="eastAsia" w:ascii="仿宋" w:hAnsi="仿宋" w:eastAsia="仿宋" w:cs="仿宋"/>
          <w:sz w:val="24"/>
          <w:lang w:val="en-US" w:eastAsia="zh-CN"/>
        </w:rPr>
        <w:t>六</w:t>
      </w:r>
      <w:r>
        <w:rPr>
          <w:rFonts w:hint="eastAsia" w:ascii="仿宋" w:hAnsi="仿宋" w:eastAsia="仿宋" w:cs="仿宋"/>
          <w:sz w:val="24"/>
        </w:rPr>
        <w:t>年</w:t>
      </w:r>
      <w:r>
        <w:rPr>
          <w:rFonts w:hint="eastAsia" w:ascii="仿宋" w:hAnsi="仿宋" w:eastAsia="仿宋" w:cs="仿宋"/>
          <w:sz w:val="24"/>
          <w:lang w:val="en-US" w:eastAsia="zh-CN"/>
        </w:rPr>
        <w:t xml:space="preserve"> </w:t>
      </w:r>
      <w:r>
        <w:rPr>
          <w:rFonts w:hint="eastAsia" w:ascii="仿宋" w:hAnsi="仿宋" w:eastAsia="仿宋" w:cs="仿宋"/>
          <w:sz w:val="24"/>
        </w:rPr>
        <w:t>月</w:t>
      </w:r>
      <w:r>
        <w:rPr>
          <w:rFonts w:hint="eastAsia" w:ascii="仿宋" w:hAnsi="仿宋" w:eastAsia="仿宋" w:cs="仿宋"/>
          <w:sz w:val="24"/>
          <w:lang w:val="en-US" w:eastAsia="zh-CN"/>
        </w:rPr>
        <w:t xml:space="preserve"> </w:t>
      </w:r>
      <w:r>
        <w:rPr>
          <w:rFonts w:hint="eastAsia" w:ascii="仿宋" w:hAnsi="仿宋" w:eastAsia="仿宋" w:cs="仿宋"/>
          <w:sz w:val="24"/>
        </w:rPr>
        <w:t>日</w:t>
      </w:r>
    </w:p>
    <w:p w14:paraId="59DA2E63">
      <w:pPr>
        <w:spacing w:line="480" w:lineRule="exact"/>
        <w:ind w:firstLine="480"/>
        <w:jc w:val="left"/>
      </w:pPr>
    </w:p>
    <w:p w14:paraId="65455FE6">
      <w:pPr>
        <w:rPr>
          <w:rFonts w:hint="eastAsia" w:ascii="仿宋" w:hAnsi="仿宋" w:eastAsia="仿宋" w:cs="仿宋"/>
          <w:color w:val="auto"/>
          <w:sz w:val="32"/>
          <w:szCs w:val="32"/>
          <w:lang w:val="en-US" w:eastAsia="zh-CN"/>
        </w:rPr>
      </w:pPr>
    </w:p>
    <w:p w14:paraId="12234D3B">
      <w:pPr>
        <w:keepNext/>
        <w:keepLines/>
        <w:pageBreakBefore/>
        <w:jc w:val="center"/>
        <w:outlineLvl w:val="0"/>
        <w:rPr>
          <w:rFonts w:hint="eastAsia" w:ascii="仿宋" w:hAnsi="仿宋" w:eastAsia="仿宋" w:cs="仿宋"/>
          <w:b/>
          <w:color w:val="000000"/>
          <w:sz w:val="44"/>
          <w:szCs w:val="44"/>
        </w:rPr>
      </w:pPr>
      <w:bookmarkStart w:id="132" w:name="_Toc2706"/>
      <w:r>
        <w:rPr>
          <w:rFonts w:hint="eastAsia" w:ascii="仿宋" w:hAnsi="仿宋" w:eastAsia="仿宋" w:cs="仿宋"/>
          <w:b/>
          <w:color w:val="000000"/>
          <w:sz w:val="44"/>
          <w:szCs w:val="44"/>
        </w:rPr>
        <w:t>第六章  投标文件格式</w:t>
      </w:r>
      <w:bookmarkEnd w:id="126"/>
      <w:bookmarkEnd w:id="127"/>
      <w:bookmarkEnd w:id="128"/>
      <w:bookmarkEnd w:id="129"/>
      <w:bookmarkEnd w:id="130"/>
      <w:bookmarkEnd w:id="132"/>
    </w:p>
    <w:p w14:paraId="0EDAD380">
      <w:pPr>
        <w:rPr>
          <w:rFonts w:hint="eastAsia" w:ascii="仿宋" w:hAnsi="仿宋" w:eastAsia="仿宋" w:cs="仿宋"/>
          <w:color w:val="000000"/>
        </w:rPr>
      </w:pPr>
      <w:bookmarkStart w:id="133" w:name="EB819316f773b24a75aef829f9b72900c0"/>
    </w:p>
    <w:p w14:paraId="7CE01A2D">
      <w:pPr>
        <w:rPr>
          <w:rFonts w:hint="eastAsia" w:ascii="仿宋" w:hAnsi="仿宋" w:eastAsia="仿宋" w:cs="仿宋"/>
          <w:b/>
          <w:color w:val="000000"/>
          <w:sz w:val="72"/>
        </w:rPr>
      </w:pPr>
      <w:bookmarkStart w:id="134" w:name="_Toc15716"/>
    </w:p>
    <w:p w14:paraId="2C81F4D8">
      <w:pPr>
        <w:rPr>
          <w:rFonts w:hint="eastAsia" w:ascii="仿宋" w:hAnsi="仿宋" w:eastAsia="仿宋" w:cs="仿宋"/>
          <w:b/>
          <w:color w:val="000000"/>
          <w:sz w:val="72"/>
        </w:rPr>
      </w:pPr>
    </w:p>
    <w:p w14:paraId="4FC782FE">
      <w:pPr>
        <w:rPr>
          <w:rFonts w:hint="eastAsia" w:ascii="仿宋" w:hAnsi="仿宋" w:eastAsia="仿宋" w:cs="仿宋"/>
          <w:b/>
          <w:color w:val="000000"/>
          <w:sz w:val="72"/>
        </w:rPr>
      </w:pPr>
    </w:p>
    <w:p w14:paraId="3E9C9562">
      <w:pPr>
        <w:jc w:val="center"/>
        <w:rPr>
          <w:rFonts w:hint="eastAsia" w:ascii="仿宋" w:hAnsi="仿宋" w:eastAsia="仿宋" w:cs="仿宋"/>
          <w:b/>
          <w:color w:val="000000"/>
          <w:sz w:val="72"/>
        </w:rPr>
      </w:pPr>
      <w:r>
        <w:rPr>
          <w:rFonts w:hint="eastAsia" w:ascii="仿宋" w:hAnsi="仿宋" w:eastAsia="仿宋" w:cs="仿宋"/>
          <w:b/>
          <w:color w:val="000000"/>
          <w:sz w:val="72"/>
        </w:rPr>
        <w:t>投  标  文  件</w:t>
      </w:r>
    </w:p>
    <w:p w14:paraId="2DCE0299">
      <w:pPr>
        <w:jc w:val="center"/>
        <w:rPr>
          <w:rFonts w:hint="eastAsia" w:ascii="仿宋" w:hAnsi="仿宋" w:eastAsia="仿宋" w:cs="仿宋"/>
          <w:b/>
          <w:color w:val="000000"/>
          <w:sz w:val="72"/>
        </w:rPr>
      </w:pPr>
    </w:p>
    <w:p w14:paraId="33A7EC2F">
      <w:pPr>
        <w:jc w:val="center"/>
        <w:rPr>
          <w:rFonts w:hint="eastAsia" w:ascii="仿宋" w:hAnsi="仿宋" w:eastAsia="仿宋" w:cs="仿宋"/>
          <w:b/>
          <w:color w:val="000000"/>
          <w:sz w:val="72"/>
        </w:rPr>
      </w:pPr>
    </w:p>
    <w:p w14:paraId="046126AA">
      <w:pPr>
        <w:jc w:val="center"/>
        <w:rPr>
          <w:rFonts w:hint="eastAsia" w:ascii="仿宋" w:hAnsi="仿宋" w:eastAsia="仿宋" w:cs="仿宋"/>
          <w:b/>
          <w:color w:val="000000"/>
          <w:sz w:val="72"/>
        </w:rPr>
      </w:pPr>
    </w:p>
    <w:p w14:paraId="01691EFD">
      <w:pPr>
        <w:jc w:val="center"/>
        <w:rPr>
          <w:rFonts w:hint="eastAsia" w:ascii="仿宋" w:hAnsi="仿宋" w:eastAsia="仿宋" w:cs="仿宋"/>
          <w:b/>
          <w:color w:val="000000"/>
          <w:sz w:val="72"/>
        </w:rPr>
      </w:pPr>
    </w:p>
    <w:p w14:paraId="39B33D0F">
      <w:pPr>
        <w:jc w:val="center"/>
        <w:rPr>
          <w:rFonts w:hint="eastAsia" w:ascii="仿宋" w:hAnsi="仿宋" w:eastAsia="仿宋" w:cs="仿宋"/>
          <w:b/>
          <w:color w:val="000000"/>
          <w:sz w:val="72"/>
        </w:rPr>
      </w:pPr>
    </w:p>
    <w:p w14:paraId="5BF3974E">
      <w:pPr>
        <w:jc w:val="center"/>
        <w:rPr>
          <w:rFonts w:hint="eastAsia" w:ascii="仿宋" w:hAnsi="仿宋" w:eastAsia="仿宋" w:cs="仿宋"/>
          <w:b/>
          <w:color w:val="000000"/>
          <w:sz w:val="36"/>
        </w:rPr>
      </w:pPr>
    </w:p>
    <w:p w14:paraId="38B94BFD">
      <w:pPr>
        <w:jc w:val="center"/>
        <w:rPr>
          <w:rFonts w:hint="eastAsia" w:ascii="仿宋" w:hAnsi="仿宋" w:eastAsia="仿宋" w:cs="仿宋"/>
          <w:b/>
          <w:color w:val="000000"/>
          <w:sz w:val="36"/>
        </w:rPr>
      </w:pPr>
    </w:p>
    <w:p w14:paraId="616440A2">
      <w:pPr>
        <w:jc w:val="center"/>
        <w:rPr>
          <w:rFonts w:hint="eastAsia" w:ascii="仿宋" w:hAnsi="仿宋" w:eastAsia="仿宋" w:cs="仿宋"/>
          <w:b/>
          <w:color w:val="000000"/>
          <w:sz w:val="36"/>
        </w:rPr>
      </w:pPr>
    </w:p>
    <w:p w14:paraId="6588DFCD">
      <w:pPr>
        <w:ind w:firstLine="1084"/>
        <w:rPr>
          <w:rFonts w:hint="eastAsia" w:ascii="仿宋" w:hAnsi="仿宋" w:eastAsia="仿宋" w:cs="仿宋"/>
          <w:b/>
          <w:color w:val="000000"/>
          <w:sz w:val="36"/>
        </w:rPr>
      </w:pPr>
      <w:r>
        <w:rPr>
          <w:rFonts w:hint="eastAsia" w:ascii="仿宋" w:hAnsi="仿宋" w:eastAsia="仿宋" w:cs="仿宋"/>
          <w:b/>
          <w:color w:val="000000"/>
          <w:sz w:val="36"/>
        </w:rPr>
        <w:t>项 目 名 称：</w:t>
      </w:r>
      <w:r>
        <w:rPr>
          <w:rFonts w:hint="eastAsia" w:ascii="仿宋" w:hAnsi="仿宋" w:eastAsia="仿宋" w:cs="仿宋"/>
          <w:b/>
          <w:color w:val="000000"/>
          <w:sz w:val="36"/>
          <w:u w:val="single"/>
        </w:rPr>
        <w:t xml:space="preserve">               </w:t>
      </w:r>
    </w:p>
    <w:p w14:paraId="0B22196A">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项 目 编 号：</w:t>
      </w:r>
      <w:r>
        <w:rPr>
          <w:rFonts w:hint="eastAsia" w:ascii="仿宋" w:hAnsi="仿宋" w:eastAsia="仿宋" w:cs="仿宋"/>
          <w:b/>
          <w:color w:val="000000"/>
          <w:sz w:val="36"/>
          <w:u w:val="single"/>
        </w:rPr>
        <w:t xml:space="preserve">               </w:t>
      </w:r>
    </w:p>
    <w:p w14:paraId="610D44D6">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投标人名称 ：</w:t>
      </w:r>
      <w:r>
        <w:rPr>
          <w:rFonts w:hint="eastAsia" w:ascii="仿宋" w:hAnsi="仿宋" w:eastAsia="仿宋" w:cs="仿宋"/>
          <w:b/>
          <w:color w:val="000000"/>
          <w:sz w:val="36"/>
          <w:u w:val="single"/>
        </w:rPr>
        <w:t>（盖CA电子公章）</w:t>
      </w:r>
    </w:p>
    <w:p w14:paraId="69ECE2B7">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134"/>
    </w:p>
    <w:p w14:paraId="1D893BF1">
      <w:pPr>
        <w:pStyle w:val="332"/>
        <w:rPr>
          <w:rFonts w:hint="eastAsia" w:ascii="仿宋" w:hAnsi="仿宋" w:eastAsia="仿宋" w:cs="仿宋"/>
          <w:color w:val="000000"/>
        </w:rPr>
      </w:pPr>
    </w:p>
    <w:p w14:paraId="5878EB92">
      <w:pPr>
        <w:pStyle w:val="332"/>
        <w:rPr>
          <w:rFonts w:hint="eastAsia" w:ascii="仿宋" w:hAnsi="仿宋" w:eastAsia="仿宋" w:cs="仿宋"/>
          <w:color w:val="000000"/>
        </w:rPr>
      </w:pPr>
    </w:p>
    <w:bookmarkEnd w:id="133"/>
    <w:p w14:paraId="6813F2C1">
      <w:pPr>
        <w:pStyle w:val="332"/>
        <w:rPr>
          <w:rFonts w:hint="eastAsia" w:ascii="仿宋" w:hAnsi="仿宋" w:eastAsia="仿宋" w:cs="仿宋"/>
          <w:color w:val="000000"/>
        </w:rPr>
      </w:pPr>
    </w:p>
    <w:p w14:paraId="3936F064">
      <w:pPr>
        <w:pStyle w:val="332"/>
        <w:spacing w:line="360" w:lineRule="auto"/>
        <w:jc w:val="both"/>
        <w:rPr>
          <w:rFonts w:hint="eastAsia" w:ascii="仿宋" w:hAnsi="仿宋" w:eastAsia="仿宋" w:cs="仿宋"/>
          <w:b/>
          <w:bCs/>
          <w:color w:val="000000"/>
          <w:sz w:val="32"/>
          <w:szCs w:val="32"/>
        </w:rPr>
      </w:pPr>
    </w:p>
    <w:p w14:paraId="1F6EFD31">
      <w:pPr>
        <w:pStyle w:val="332"/>
        <w:spacing w:line="360" w:lineRule="auto"/>
        <w:jc w:val="center"/>
        <w:rPr>
          <w:rFonts w:hint="eastAsia" w:ascii="仿宋" w:hAnsi="仿宋" w:eastAsia="仿宋" w:cs="仿宋"/>
          <w:color w:val="000000"/>
          <w:sz w:val="28"/>
          <w:szCs w:val="28"/>
        </w:rPr>
      </w:pPr>
      <w:r>
        <w:rPr>
          <w:rFonts w:hint="eastAsia" w:ascii="仿宋" w:hAnsi="仿宋" w:eastAsia="仿宋" w:cs="仿宋"/>
          <w:b/>
          <w:bCs/>
          <w:color w:val="000000"/>
          <w:sz w:val="32"/>
          <w:szCs w:val="32"/>
        </w:rPr>
        <w:t>投标文件目录</w:t>
      </w:r>
    </w:p>
    <w:p w14:paraId="4E08DEB4">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一、投标函</w:t>
      </w:r>
    </w:p>
    <w:p w14:paraId="2969ED53">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二、法人授权书</w:t>
      </w:r>
    </w:p>
    <w:p w14:paraId="272421B6">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三、开标一览表</w:t>
      </w:r>
    </w:p>
    <w:p w14:paraId="2022809E">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四、分项报价表</w:t>
      </w:r>
    </w:p>
    <w:p w14:paraId="0BBDF4B1">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五、中小企业或残疾人福利性单位声明函</w:t>
      </w:r>
    </w:p>
    <w:p w14:paraId="164E139C">
      <w:pPr>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六、项目</w:t>
      </w:r>
      <w:r>
        <w:rPr>
          <w:rFonts w:hint="eastAsia" w:ascii="仿宋" w:hAnsi="仿宋" w:eastAsia="仿宋" w:cs="仿宋"/>
          <w:color w:val="000000"/>
          <w:sz w:val="28"/>
          <w:szCs w:val="28"/>
          <w:highlight w:val="none"/>
          <w:lang w:val="en-US" w:eastAsia="zh-CN"/>
        </w:rPr>
        <w:t>组成员经验</w:t>
      </w:r>
    </w:p>
    <w:p w14:paraId="584386B4">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七</w:t>
      </w:r>
      <w:r>
        <w:rPr>
          <w:rFonts w:hint="eastAsia" w:ascii="仿宋" w:hAnsi="仿宋" w:eastAsia="仿宋" w:cs="仿宋"/>
          <w:color w:val="000000"/>
          <w:sz w:val="28"/>
          <w:szCs w:val="28"/>
          <w:highlight w:val="none"/>
        </w:rPr>
        <w:t>、企业业绩</w:t>
      </w:r>
    </w:p>
    <w:p w14:paraId="5EF4DEC6">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八</w:t>
      </w:r>
      <w:r>
        <w:rPr>
          <w:rFonts w:hint="eastAsia" w:ascii="仿宋" w:hAnsi="仿宋" w:eastAsia="仿宋" w:cs="仿宋"/>
          <w:color w:val="000000"/>
          <w:sz w:val="28"/>
          <w:szCs w:val="28"/>
          <w:highlight w:val="none"/>
        </w:rPr>
        <w:t>、</w:t>
      </w:r>
      <w:bookmarkStart w:id="135" w:name="OLE_LINK41"/>
      <w:r>
        <w:rPr>
          <w:rFonts w:hint="eastAsia" w:ascii="仿宋" w:hAnsi="仿宋" w:eastAsia="仿宋" w:cs="仿宋"/>
          <w:color w:val="000000"/>
          <w:sz w:val="28"/>
          <w:szCs w:val="28"/>
          <w:highlight w:val="none"/>
        </w:rPr>
        <w:t>人员配备要求承诺函</w:t>
      </w:r>
      <w:bookmarkEnd w:id="135"/>
    </w:p>
    <w:p w14:paraId="305BE01B">
      <w:pPr>
        <w:spacing w:line="360" w:lineRule="auto"/>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九</w:t>
      </w:r>
      <w:r>
        <w:rPr>
          <w:rFonts w:hint="eastAsia" w:ascii="仿宋" w:hAnsi="仿宋" w:eastAsia="仿宋" w:cs="仿宋"/>
          <w:color w:val="000000"/>
          <w:sz w:val="28"/>
          <w:szCs w:val="28"/>
          <w:highlight w:val="none"/>
        </w:rPr>
        <w:t>、服务要求承诺（一）及相关服务方案</w:t>
      </w:r>
    </w:p>
    <w:p w14:paraId="408578B4">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十</w:t>
      </w:r>
      <w:r>
        <w:rPr>
          <w:rFonts w:hint="eastAsia" w:ascii="仿宋" w:hAnsi="仿宋" w:eastAsia="仿宋" w:cs="仿宋"/>
          <w:color w:val="000000"/>
          <w:sz w:val="28"/>
          <w:szCs w:val="28"/>
          <w:highlight w:val="none"/>
        </w:rPr>
        <w:t>、服务要求承诺（二）</w:t>
      </w:r>
    </w:p>
    <w:p w14:paraId="6ADA833E">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十</w:t>
      </w:r>
      <w:r>
        <w:rPr>
          <w:rFonts w:hint="eastAsia" w:ascii="仿宋" w:hAnsi="仿宋" w:eastAsia="仿宋" w:cs="仿宋"/>
          <w:color w:val="000000"/>
          <w:sz w:val="28"/>
          <w:szCs w:val="28"/>
          <w:highlight w:val="none"/>
          <w:lang w:val="en-US" w:eastAsia="zh-CN"/>
        </w:rPr>
        <w:t>一</w:t>
      </w:r>
      <w:r>
        <w:rPr>
          <w:rFonts w:hint="eastAsia" w:ascii="仿宋" w:hAnsi="仿宋" w:eastAsia="仿宋" w:cs="仿宋"/>
          <w:color w:val="000000"/>
          <w:sz w:val="28"/>
          <w:szCs w:val="28"/>
          <w:highlight w:val="none"/>
        </w:rPr>
        <w:t>、投标所需其他材料</w:t>
      </w:r>
    </w:p>
    <w:p w14:paraId="4ADA13BB">
      <w:pPr>
        <w:rPr>
          <w:rFonts w:hint="eastAsia" w:ascii="仿宋" w:hAnsi="仿宋" w:eastAsia="仿宋" w:cs="仿宋"/>
          <w:color w:val="000000"/>
          <w:highlight w:val="none"/>
        </w:rPr>
      </w:pPr>
      <w:bookmarkStart w:id="136" w:name="_Toc20577"/>
      <w:bookmarkStart w:id="137" w:name="_Toc26005"/>
    </w:p>
    <w:p w14:paraId="28F00656">
      <w:pPr>
        <w:rPr>
          <w:rFonts w:hint="eastAsia" w:ascii="仿宋" w:hAnsi="仿宋" w:eastAsia="仿宋" w:cs="仿宋"/>
          <w:color w:val="000000"/>
        </w:rPr>
      </w:pPr>
    </w:p>
    <w:p w14:paraId="6A7469B5">
      <w:pPr>
        <w:rPr>
          <w:rFonts w:hint="eastAsia" w:ascii="仿宋" w:hAnsi="仿宋" w:eastAsia="仿宋" w:cs="仿宋"/>
          <w:color w:val="000000"/>
        </w:rPr>
      </w:pPr>
    </w:p>
    <w:p w14:paraId="60EB37C5">
      <w:pPr>
        <w:rPr>
          <w:rFonts w:hint="eastAsia" w:ascii="仿宋" w:hAnsi="仿宋" w:eastAsia="仿宋" w:cs="仿宋"/>
          <w:color w:val="000000"/>
        </w:rPr>
      </w:pPr>
    </w:p>
    <w:p w14:paraId="63C55042">
      <w:pPr>
        <w:rPr>
          <w:rFonts w:hint="eastAsia" w:ascii="仿宋" w:hAnsi="仿宋" w:eastAsia="仿宋" w:cs="仿宋"/>
          <w:color w:val="000000"/>
        </w:rPr>
      </w:pPr>
    </w:p>
    <w:p w14:paraId="05CCB85C">
      <w:pPr>
        <w:rPr>
          <w:rFonts w:hint="eastAsia" w:ascii="仿宋" w:hAnsi="仿宋" w:eastAsia="仿宋" w:cs="仿宋"/>
          <w:color w:val="000000"/>
        </w:rPr>
      </w:pPr>
    </w:p>
    <w:p w14:paraId="31D69A7F">
      <w:pPr>
        <w:rPr>
          <w:rFonts w:hint="eastAsia" w:ascii="仿宋" w:hAnsi="仿宋" w:eastAsia="仿宋" w:cs="仿宋"/>
          <w:color w:val="000000"/>
        </w:rPr>
      </w:pPr>
    </w:p>
    <w:p w14:paraId="0CCFD384">
      <w:pPr>
        <w:rPr>
          <w:rFonts w:hint="eastAsia" w:ascii="仿宋" w:hAnsi="仿宋" w:eastAsia="仿宋" w:cs="仿宋"/>
          <w:color w:val="000000"/>
        </w:rPr>
      </w:pPr>
    </w:p>
    <w:p w14:paraId="274D1E23">
      <w:pPr>
        <w:rPr>
          <w:rFonts w:hint="eastAsia" w:ascii="仿宋" w:hAnsi="仿宋" w:eastAsia="仿宋" w:cs="仿宋"/>
          <w:color w:val="000000"/>
        </w:rPr>
      </w:pPr>
    </w:p>
    <w:p w14:paraId="6E6CFF84">
      <w:pPr>
        <w:rPr>
          <w:rFonts w:hint="eastAsia" w:ascii="仿宋" w:hAnsi="仿宋" w:eastAsia="仿宋" w:cs="仿宋"/>
          <w:color w:val="000000"/>
        </w:rPr>
      </w:pPr>
    </w:p>
    <w:p w14:paraId="463CF8C1">
      <w:pPr>
        <w:rPr>
          <w:rFonts w:hint="eastAsia" w:ascii="仿宋" w:hAnsi="仿宋" w:eastAsia="仿宋" w:cs="仿宋"/>
          <w:color w:val="000000"/>
        </w:rPr>
      </w:pPr>
    </w:p>
    <w:p w14:paraId="500354CC">
      <w:pPr>
        <w:rPr>
          <w:rFonts w:hint="eastAsia" w:ascii="仿宋" w:hAnsi="仿宋" w:eastAsia="仿宋" w:cs="仿宋"/>
          <w:color w:val="000000"/>
        </w:rPr>
      </w:pPr>
    </w:p>
    <w:p w14:paraId="0C6D09E6">
      <w:pPr>
        <w:rPr>
          <w:rFonts w:hint="eastAsia" w:ascii="仿宋" w:hAnsi="仿宋" w:eastAsia="仿宋" w:cs="仿宋"/>
          <w:color w:val="000000"/>
        </w:rPr>
      </w:pPr>
    </w:p>
    <w:p w14:paraId="38842989">
      <w:pPr>
        <w:rPr>
          <w:rFonts w:hint="eastAsia" w:ascii="仿宋" w:hAnsi="仿宋" w:eastAsia="仿宋" w:cs="仿宋"/>
          <w:color w:val="000000"/>
        </w:rPr>
      </w:pPr>
    </w:p>
    <w:p w14:paraId="155129F2">
      <w:pPr>
        <w:rPr>
          <w:rFonts w:hint="eastAsia" w:ascii="仿宋" w:hAnsi="仿宋" w:eastAsia="仿宋" w:cs="仿宋"/>
          <w:color w:val="000000"/>
        </w:rPr>
      </w:pPr>
    </w:p>
    <w:p w14:paraId="56413EDA">
      <w:pPr>
        <w:rPr>
          <w:rFonts w:hint="eastAsia" w:ascii="仿宋" w:hAnsi="仿宋" w:eastAsia="仿宋" w:cs="仿宋"/>
          <w:color w:val="000000"/>
        </w:rPr>
      </w:pPr>
    </w:p>
    <w:p w14:paraId="45B4E63A">
      <w:pPr>
        <w:rPr>
          <w:rFonts w:hint="eastAsia" w:ascii="仿宋" w:hAnsi="仿宋" w:eastAsia="仿宋" w:cs="仿宋"/>
          <w:color w:val="000000"/>
        </w:rPr>
      </w:pPr>
    </w:p>
    <w:p w14:paraId="12E302AA">
      <w:pPr>
        <w:rPr>
          <w:rFonts w:hint="eastAsia" w:ascii="仿宋" w:hAnsi="仿宋" w:eastAsia="仿宋" w:cs="仿宋"/>
          <w:color w:val="000000"/>
        </w:rPr>
      </w:pPr>
    </w:p>
    <w:p w14:paraId="43CF1371">
      <w:pPr>
        <w:rPr>
          <w:rFonts w:hint="eastAsia" w:ascii="仿宋" w:hAnsi="仿宋" w:eastAsia="仿宋" w:cs="仿宋"/>
          <w:color w:val="000000"/>
        </w:rPr>
      </w:pPr>
    </w:p>
    <w:p w14:paraId="2007CFB5">
      <w:pPr>
        <w:rPr>
          <w:rFonts w:hint="eastAsia" w:ascii="仿宋" w:hAnsi="仿宋" w:eastAsia="仿宋" w:cs="仿宋"/>
          <w:color w:val="000000"/>
        </w:rPr>
      </w:pPr>
    </w:p>
    <w:p w14:paraId="72A38D91">
      <w:pPr>
        <w:rPr>
          <w:rFonts w:hint="eastAsia" w:ascii="仿宋" w:hAnsi="仿宋" w:eastAsia="仿宋" w:cs="仿宋"/>
          <w:color w:val="000000"/>
        </w:rPr>
      </w:pPr>
    </w:p>
    <w:p w14:paraId="738F8761">
      <w:pPr>
        <w:rPr>
          <w:rFonts w:hint="eastAsia" w:ascii="仿宋" w:hAnsi="仿宋" w:eastAsia="仿宋" w:cs="仿宋"/>
          <w:color w:val="000000"/>
        </w:rPr>
      </w:pPr>
    </w:p>
    <w:p w14:paraId="4ED15AED">
      <w:pPr>
        <w:rPr>
          <w:rFonts w:hint="eastAsia" w:ascii="仿宋" w:hAnsi="仿宋" w:eastAsia="仿宋" w:cs="仿宋"/>
          <w:color w:val="000000"/>
        </w:rPr>
      </w:pPr>
    </w:p>
    <w:p w14:paraId="1D917376">
      <w:pPr>
        <w:rPr>
          <w:rFonts w:hint="eastAsia" w:ascii="仿宋" w:hAnsi="仿宋" w:eastAsia="仿宋" w:cs="仿宋"/>
          <w:color w:val="000000"/>
        </w:rPr>
      </w:pPr>
    </w:p>
    <w:p w14:paraId="7AB88828">
      <w:pPr>
        <w:rPr>
          <w:rFonts w:hint="eastAsia" w:ascii="仿宋" w:hAnsi="仿宋" w:eastAsia="仿宋" w:cs="仿宋"/>
          <w:color w:val="000000"/>
        </w:rPr>
      </w:pPr>
    </w:p>
    <w:p w14:paraId="1D1E1D3D">
      <w:pPr>
        <w:pStyle w:val="342"/>
        <w:outlineLvl w:val="1"/>
        <w:rPr>
          <w:rFonts w:hint="eastAsia" w:ascii="仿宋" w:hAnsi="仿宋" w:eastAsia="仿宋" w:cs="仿宋"/>
          <w:b/>
          <w:bCs w:val="0"/>
          <w:color w:val="000000"/>
        </w:rPr>
      </w:pPr>
      <w:bookmarkStart w:id="138" w:name="_Toc8978"/>
    </w:p>
    <w:p w14:paraId="6032CE4D">
      <w:pPr>
        <w:pStyle w:val="342"/>
        <w:outlineLvl w:val="1"/>
        <w:rPr>
          <w:rFonts w:hint="eastAsia" w:ascii="仿宋" w:hAnsi="仿宋" w:eastAsia="仿宋" w:cs="仿宋"/>
          <w:highlight w:val="none"/>
        </w:rPr>
      </w:pPr>
      <w:r>
        <w:rPr>
          <w:rFonts w:hint="eastAsia" w:ascii="仿宋" w:hAnsi="仿宋" w:eastAsia="仿宋" w:cs="仿宋"/>
          <w:b/>
          <w:bCs w:val="0"/>
          <w:color w:val="000000"/>
        </w:rPr>
        <w:t>一、投标函</w:t>
      </w:r>
      <w:bookmarkEnd w:id="136"/>
      <w:bookmarkEnd w:id="137"/>
      <w:bookmarkEnd w:id="138"/>
    </w:p>
    <w:p w14:paraId="205F9D79">
      <w:pPr>
        <w:pStyle w:val="343"/>
        <w:jc w:val="center"/>
        <w:rPr>
          <w:rFonts w:hint="eastAsia" w:ascii="仿宋" w:hAnsi="仿宋" w:eastAsia="仿宋" w:cs="仿宋"/>
          <w:bCs/>
          <w:color w:val="000000"/>
          <w:sz w:val="32"/>
          <w:szCs w:val="32"/>
        </w:rPr>
      </w:pPr>
    </w:p>
    <w:p w14:paraId="0D7DD3F4">
      <w:pPr>
        <w:pStyle w:val="34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投标函</w:t>
      </w:r>
    </w:p>
    <w:p w14:paraId="70B82057">
      <w:pPr>
        <w:pStyle w:val="343"/>
        <w:spacing w:line="500"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泗洪县机关事务管理中心</w:t>
      </w:r>
      <w:r>
        <w:rPr>
          <w:rFonts w:hint="eastAsia" w:ascii="仿宋" w:hAnsi="仿宋" w:eastAsia="仿宋" w:cs="仿宋"/>
          <w:color w:val="000000"/>
          <w:sz w:val="24"/>
          <w:szCs w:val="24"/>
          <w:u w:val="single"/>
        </w:rPr>
        <w:t>：</w:t>
      </w:r>
    </w:p>
    <w:p w14:paraId="2AC03834">
      <w:pPr>
        <w:pStyle w:val="343"/>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根据已收到的项目编号为</w:t>
      </w:r>
      <w:r>
        <w:rPr>
          <w:rFonts w:hint="eastAsia" w:ascii="仿宋" w:hAnsi="仿宋" w:eastAsia="仿宋" w:cs="仿宋"/>
          <w:color w:val="000000"/>
          <w:sz w:val="24"/>
          <w:szCs w:val="24"/>
          <w:u w:val="single"/>
          <w:lang w:val="en-US" w:eastAsia="zh-CN"/>
        </w:rPr>
        <w:t xml:space="preserve"> JSZC-321324-JZCG-G2026-0012 </w:t>
      </w:r>
      <w:r>
        <w:rPr>
          <w:rFonts w:hint="eastAsia" w:ascii="仿宋" w:hAnsi="仿宋" w:eastAsia="仿宋" w:cs="仿宋"/>
          <w:color w:val="000000"/>
          <w:sz w:val="24"/>
          <w:szCs w:val="24"/>
        </w:rPr>
        <w:t>的</w:t>
      </w:r>
      <w:r>
        <w:rPr>
          <w:rFonts w:hint="eastAsia" w:ascii="仿宋" w:hAnsi="仿宋" w:eastAsia="仿宋" w:cs="仿宋"/>
          <w:color w:val="000000"/>
          <w:sz w:val="24"/>
          <w:szCs w:val="24"/>
          <w:u w:val="single"/>
          <w:lang w:val="en-US" w:eastAsia="zh-CN"/>
        </w:rPr>
        <w:t>泗洪县政务服务中心保洁服务采购项目</w:t>
      </w:r>
      <w:r>
        <w:rPr>
          <w:rFonts w:hint="eastAsia" w:ascii="仿宋" w:hAnsi="仿宋" w:eastAsia="仿宋" w:cs="仿宋"/>
          <w:color w:val="000000"/>
          <w:sz w:val="24"/>
          <w:szCs w:val="24"/>
        </w:rPr>
        <w:t>的招标文件，我方在参加本项目招投标活动中，特作出如下承诺：</w:t>
      </w:r>
    </w:p>
    <w:p w14:paraId="68E723A3">
      <w:pPr>
        <w:pStyle w:val="343"/>
        <w:spacing w:line="50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zCs w:val="24"/>
        </w:rPr>
        <w:t>一、我方</w:t>
      </w:r>
      <w:r>
        <w:rPr>
          <w:rFonts w:hint="eastAsia" w:ascii="仿宋" w:hAnsi="仿宋" w:eastAsia="仿宋" w:cs="仿宋"/>
          <w:color w:val="000000"/>
          <w:sz w:val="24"/>
        </w:rPr>
        <w:t>具备《中华人民共和国政府采购法》第二十二条第一款规定的6项条件；</w:t>
      </w:r>
    </w:p>
    <w:p w14:paraId="173697FE">
      <w:pPr>
        <w:pStyle w:val="343"/>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32405C92">
      <w:pPr>
        <w:pStyle w:val="343"/>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三、我方按招标文件要求提交投标文件，响应招标文件规定的投标有效期；</w:t>
      </w:r>
    </w:p>
    <w:p w14:paraId="325535B5">
      <w:pPr>
        <w:pStyle w:val="343"/>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四、如果我方的投标文件被接受，我方将按《中华人民共和国民法典（第三编合同）》及其他有关法律、法规的规定，按期、按质、按量交付采购单位，全面做到履约守信；</w:t>
      </w:r>
    </w:p>
    <w:p w14:paraId="3A6E5843">
      <w:pPr>
        <w:pStyle w:val="343"/>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五、我方若违背本声明及承诺约定，经查实，自愿接受采购人及相关主管部门相应的规定处理，并依法承担相应的法律责任。</w:t>
      </w:r>
    </w:p>
    <w:p w14:paraId="4447531D">
      <w:pPr>
        <w:pStyle w:val="343"/>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六、我方同意采购人、采购代理机构将本函上网公开。</w:t>
      </w:r>
    </w:p>
    <w:p w14:paraId="44AE3618">
      <w:pPr>
        <w:pStyle w:val="343"/>
        <w:spacing w:line="500" w:lineRule="exact"/>
        <w:ind w:firstLine="480"/>
        <w:jc w:val="left"/>
        <w:rPr>
          <w:rFonts w:hint="eastAsia" w:ascii="仿宋" w:hAnsi="仿宋" w:eastAsia="仿宋" w:cs="仿宋"/>
          <w:color w:val="000000"/>
          <w:sz w:val="24"/>
          <w:szCs w:val="24"/>
        </w:rPr>
      </w:pPr>
    </w:p>
    <w:p w14:paraId="5C67FD5B">
      <w:pPr>
        <w:pStyle w:val="343"/>
        <w:spacing w:line="500" w:lineRule="exact"/>
        <w:jc w:val="left"/>
        <w:rPr>
          <w:rFonts w:hint="eastAsia" w:ascii="仿宋" w:hAnsi="仿宋" w:eastAsia="仿宋" w:cs="仿宋"/>
          <w:color w:val="000000"/>
          <w:sz w:val="24"/>
          <w:szCs w:val="24"/>
        </w:rPr>
      </w:pPr>
    </w:p>
    <w:p w14:paraId="1E83F8AB">
      <w:pPr>
        <w:pStyle w:val="343"/>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（盖CA电子公章）</w:t>
      </w:r>
    </w:p>
    <w:p w14:paraId="69C93302">
      <w:pPr>
        <w:pStyle w:val="343"/>
        <w:ind w:firstLine="480"/>
        <w:rPr>
          <w:rFonts w:hint="eastAsia" w:ascii="仿宋" w:hAnsi="仿宋" w:eastAsia="仿宋" w:cs="仿宋"/>
          <w:color w:val="000000"/>
          <w:sz w:val="24"/>
          <w:szCs w:val="24"/>
        </w:rPr>
      </w:pPr>
    </w:p>
    <w:p w14:paraId="6B29E05A">
      <w:pPr>
        <w:pStyle w:val="343"/>
        <w:ind w:firstLine="480"/>
        <w:rPr>
          <w:rFonts w:hint="eastAsia" w:ascii="仿宋" w:hAnsi="仿宋" w:eastAsia="仿宋" w:cs="仿宋"/>
          <w:color w:val="000000"/>
        </w:rPr>
      </w:pPr>
      <w:r>
        <w:rPr>
          <w:rFonts w:hint="eastAsia" w:ascii="仿宋" w:hAnsi="仿宋" w:eastAsia="仿宋" w:cs="仿宋"/>
          <w:color w:val="000000"/>
          <w:sz w:val="24"/>
          <w:szCs w:val="24"/>
        </w:rPr>
        <w:t>日期：    年    月   日</w:t>
      </w:r>
    </w:p>
    <w:p w14:paraId="5DCB50D2">
      <w:pPr>
        <w:rPr>
          <w:rFonts w:hint="eastAsia" w:ascii="仿宋" w:hAnsi="仿宋" w:eastAsia="仿宋" w:cs="仿宋"/>
          <w:color w:val="000000"/>
        </w:rPr>
      </w:pPr>
    </w:p>
    <w:p w14:paraId="0392390B">
      <w:pPr>
        <w:rPr>
          <w:rFonts w:hint="eastAsia" w:ascii="仿宋" w:hAnsi="仿宋" w:eastAsia="仿宋" w:cs="仿宋"/>
          <w:color w:val="000000"/>
        </w:rPr>
      </w:pPr>
    </w:p>
    <w:p w14:paraId="6E17031F">
      <w:pPr>
        <w:rPr>
          <w:rFonts w:hint="eastAsia" w:ascii="仿宋" w:hAnsi="仿宋" w:eastAsia="仿宋" w:cs="仿宋"/>
          <w:color w:val="000000"/>
        </w:rPr>
      </w:pPr>
    </w:p>
    <w:p w14:paraId="0B07E3FF">
      <w:pPr>
        <w:rPr>
          <w:rFonts w:hint="eastAsia" w:ascii="仿宋" w:hAnsi="仿宋" w:eastAsia="仿宋" w:cs="仿宋"/>
          <w:color w:val="000000"/>
        </w:rPr>
      </w:pPr>
    </w:p>
    <w:p w14:paraId="0E2F18C7">
      <w:pPr>
        <w:rPr>
          <w:rFonts w:hint="eastAsia" w:ascii="仿宋" w:hAnsi="仿宋" w:eastAsia="仿宋" w:cs="仿宋"/>
          <w:color w:val="000000"/>
        </w:rPr>
      </w:pPr>
    </w:p>
    <w:p w14:paraId="67309FFA">
      <w:pPr>
        <w:rPr>
          <w:rFonts w:hint="eastAsia" w:ascii="仿宋" w:hAnsi="仿宋" w:eastAsia="仿宋" w:cs="仿宋"/>
          <w:color w:val="000000"/>
        </w:rPr>
      </w:pPr>
    </w:p>
    <w:p w14:paraId="496D192B">
      <w:pPr>
        <w:rPr>
          <w:rFonts w:hint="eastAsia" w:ascii="仿宋" w:hAnsi="仿宋" w:eastAsia="仿宋" w:cs="仿宋"/>
          <w:color w:val="000000"/>
        </w:rPr>
      </w:pPr>
    </w:p>
    <w:p w14:paraId="2DEDC94A">
      <w:pPr>
        <w:rPr>
          <w:rFonts w:hint="eastAsia" w:ascii="仿宋" w:hAnsi="仿宋" w:eastAsia="仿宋" w:cs="仿宋"/>
          <w:color w:val="000000"/>
        </w:rPr>
      </w:pPr>
    </w:p>
    <w:p w14:paraId="25E38F33">
      <w:pPr>
        <w:rPr>
          <w:rFonts w:hint="eastAsia" w:ascii="仿宋" w:hAnsi="仿宋" w:eastAsia="仿宋" w:cs="仿宋"/>
          <w:color w:val="000000"/>
        </w:rPr>
      </w:pPr>
    </w:p>
    <w:p w14:paraId="0E245EC9">
      <w:pPr>
        <w:rPr>
          <w:rFonts w:hint="eastAsia" w:ascii="仿宋" w:hAnsi="仿宋" w:eastAsia="仿宋" w:cs="仿宋"/>
          <w:color w:val="000000"/>
        </w:rPr>
      </w:pPr>
    </w:p>
    <w:p w14:paraId="169B32AF">
      <w:pPr>
        <w:rPr>
          <w:rFonts w:hint="eastAsia" w:ascii="仿宋" w:hAnsi="仿宋" w:eastAsia="仿宋" w:cs="仿宋"/>
          <w:color w:val="000000"/>
        </w:rPr>
      </w:pPr>
    </w:p>
    <w:p w14:paraId="66BB0621">
      <w:pPr>
        <w:rPr>
          <w:rFonts w:hint="eastAsia" w:ascii="仿宋" w:hAnsi="仿宋" w:eastAsia="仿宋" w:cs="仿宋"/>
          <w:color w:val="000000"/>
        </w:rPr>
      </w:pPr>
    </w:p>
    <w:p w14:paraId="1DB07ED7">
      <w:pPr>
        <w:outlineLvl w:val="1"/>
        <w:rPr>
          <w:rFonts w:hint="eastAsia" w:ascii="仿宋" w:hAnsi="仿宋" w:eastAsia="仿宋" w:cs="仿宋"/>
          <w:b/>
          <w:bCs/>
          <w:color w:val="000000"/>
        </w:rPr>
      </w:pPr>
    </w:p>
    <w:p w14:paraId="37D06A4F">
      <w:pPr>
        <w:outlineLvl w:val="1"/>
        <w:rPr>
          <w:rFonts w:hint="eastAsia" w:ascii="仿宋" w:hAnsi="仿宋" w:eastAsia="仿宋" w:cs="仿宋"/>
          <w:highlight w:val="none"/>
        </w:rPr>
      </w:pPr>
    </w:p>
    <w:p w14:paraId="7023758E">
      <w:pPr>
        <w:outlineLvl w:val="1"/>
        <w:rPr>
          <w:rFonts w:hint="eastAsia" w:ascii="仿宋" w:hAnsi="仿宋" w:eastAsia="仿宋" w:cs="仿宋"/>
          <w:highlight w:val="none"/>
        </w:rPr>
      </w:pPr>
    </w:p>
    <w:p w14:paraId="24E8C2A8">
      <w:pPr>
        <w:outlineLvl w:val="1"/>
        <w:rPr>
          <w:rFonts w:hint="eastAsia" w:ascii="仿宋" w:hAnsi="仿宋" w:eastAsia="仿宋" w:cs="仿宋"/>
          <w:highlight w:val="none"/>
        </w:rPr>
      </w:pPr>
      <w:bookmarkStart w:id="139" w:name="_Toc29506"/>
      <w:bookmarkStart w:id="140" w:name="_Toc3680"/>
      <w:bookmarkStart w:id="141" w:name="_Toc27409"/>
      <w:r>
        <w:rPr>
          <w:rFonts w:hint="eastAsia" w:ascii="仿宋" w:hAnsi="仿宋" w:eastAsia="仿宋" w:cs="仿宋"/>
          <w:b/>
          <w:bCs w:val="0"/>
          <w:color w:val="000000"/>
          <w:sz w:val="32"/>
          <w:szCs w:val="24"/>
        </w:rPr>
        <w:t>二、</w:t>
      </w:r>
      <w:bookmarkEnd w:id="139"/>
      <w:bookmarkEnd w:id="140"/>
      <w:r>
        <w:rPr>
          <w:rFonts w:hint="eastAsia" w:ascii="仿宋" w:hAnsi="仿宋" w:eastAsia="仿宋" w:cs="仿宋"/>
          <w:b/>
          <w:bCs w:val="0"/>
          <w:color w:val="000000"/>
          <w:sz w:val="32"/>
          <w:szCs w:val="24"/>
        </w:rPr>
        <w:t>法人授权书</w:t>
      </w:r>
      <w:bookmarkEnd w:id="141"/>
    </w:p>
    <w:p w14:paraId="37B3FB6B">
      <w:pPr>
        <w:pStyle w:val="343"/>
        <w:jc w:val="center"/>
        <w:rPr>
          <w:rFonts w:hint="eastAsia" w:ascii="仿宋" w:hAnsi="仿宋" w:eastAsia="仿宋" w:cs="仿宋"/>
          <w:bCs/>
          <w:color w:val="000000"/>
          <w:sz w:val="32"/>
          <w:szCs w:val="32"/>
        </w:rPr>
      </w:pPr>
      <w:bookmarkStart w:id="142" w:name="OLE_LINK6"/>
      <w:r>
        <w:rPr>
          <w:rFonts w:hint="eastAsia" w:ascii="仿宋" w:hAnsi="仿宋" w:eastAsia="仿宋" w:cs="仿宋"/>
          <w:bCs/>
          <w:color w:val="000000"/>
          <w:sz w:val="32"/>
          <w:szCs w:val="32"/>
        </w:rPr>
        <w:t>法人授权书</w:t>
      </w:r>
      <w:bookmarkEnd w:id="142"/>
    </w:p>
    <w:p w14:paraId="523B5F87">
      <w:pPr>
        <w:pStyle w:val="460"/>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本授权书声明</w:t>
      </w:r>
      <w:r>
        <w:rPr>
          <w:rFonts w:hint="eastAsia" w:ascii="仿宋" w:hAnsi="仿宋" w:eastAsia="仿宋" w:cs="仿宋"/>
          <w:color w:val="auto"/>
          <w:sz w:val="24"/>
          <w:szCs w:val="24"/>
          <w:u w:val="none"/>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rPr>
        <w:t>（投标人名称）授权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rPr>
        <w:t>（被授权人的姓名）为我方就</w:t>
      </w:r>
      <w:r>
        <w:rPr>
          <w:rFonts w:hint="eastAsia" w:ascii="仿宋" w:hAnsi="仿宋" w:eastAsia="仿宋" w:cs="仿宋"/>
          <w:color w:val="000000"/>
          <w:sz w:val="24"/>
          <w:szCs w:val="24"/>
          <w:u w:val="single"/>
          <w:lang w:val="en-US" w:eastAsia="zh-CN"/>
        </w:rPr>
        <w:t xml:space="preserve"> JSZC-321324-JZCG-G2026-0012 </w:t>
      </w:r>
      <w:r>
        <w:rPr>
          <w:rFonts w:hint="eastAsia" w:ascii="仿宋" w:hAnsi="仿宋" w:eastAsia="仿宋" w:cs="仿宋"/>
          <w:color w:val="000000"/>
          <w:sz w:val="24"/>
          <w:szCs w:val="24"/>
        </w:rPr>
        <w:t>号</w:t>
      </w:r>
      <w:r>
        <w:rPr>
          <w:rFonts w:hint="eastAsia" w:ascii="仿宋" w:hAnsi="仿宋" w:eastAsia="仿宋" w:cs="仿宋"/>
          <w:color w:val="000000"/>
          <w:sz w:val="24"/>
          <w:szCs w:val="24"/>
          <w:u w:val="single"/>
          <w:lang w:val="en-US" w:eastAsia="zh-CN"/>
        </w:rPr>
        <w:t>泗洪县政务服务中心保洁服务采购项目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采购活动的合法代理人，以本单位名义全权处理一切与该项目采购有关的事务。</w:t>
      </w:r>
    </w:p>
    <w:p w14:paraId="4F21309D">
      <w:pPr>
        <w:pStyle w:val="460"/>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本授权书于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日起生效，特此声明。</w:t>
      </w:r>
    </w:p>
    <w:p w14:paraId="3836E3B5">
      <w:pPr>
        <w:pStyle w:val="460"/>
        <w:spacing w:line="480" w:lineRule="exact"/>
        <w:ind w:firstLine="482"/>
        <w:rPr>
          <w:rFonts w:hint="eastAsia" w:ascii="仿宋" w:hAnsi="仿宋" w:eastAsia="仿宋" w:cs="仿宋"/>
          <w:color w:val="000000"/>
          <w:sz w:val="24"/>
          <w:szCs w:val="24"/>
          <w:u w:val="single"/>
        </w:rPr>
      </w:pPr>
      <w:r>
        <w:rPr>
          <w:rFonts w:hint="eastAsia" w:ascii="仿宋" w:hAnsi="仿宋" w:eastAsia="仿宋" w:cs="仿宋"/>
          <w:color w:val="000000"/>
          <w:sz w:val="24"/>
          <w:szCs w:val="24"/>
        </w:rPr>
        <w:t>被授权人身份证号码：</w:t>
      </w:r>
      <w:r>
        <w:rPr>
          <w:rFonts w:hint="eastAsia" w:ascii="仿宋" w:hAnsi="仿宋" w:eastAsia="仿宋" w:cs="仿宋"/>
          <w:color w:val="000000"/>
          <w:sz w:val="24"/>
          <w:szCs w:val="24"/>
          <w:u w:val="single"/>
        </w:rPr>
        <w:t xml:space="preserve">                             </w:t>
      </w:r>
    </w:p>
    <w:p w14:paraId="22C1A393">
      <w:pPr>
        <w:pStyle w:val="460"/>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被授权人联系电话：（手机）</w:t>
      </w:r>
      <w:r>
        <w:rPr>
          <w:rFonts w:hint="eastAsia" w:ascii="仿宋" w:hAnsi="仿宋" w:eastAsia="仿宋" w:cs="仿宋"/>
          <w:color w:val="000000"/>
          <w:sz w:val="24"/>
          <w:szCs w:val="24"/>
          <w:u w:val="single"/>
        </w:rPr>
        <w:t xml:space="preserve">                          </w:t>
      </w:r>
    </w:p>
    <w:p w14:paraId="6D281ACD">
      <w:pPr>
        <w:pStyle w:val="460"/>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授权单位名称：</w:t>
      </w:r>
      <w:r>
        <w:rPr>
          <w:rFonts w:hint="eastAsia" w:ascii="仿宋" w:hAnsi="仿宋" w:eastAsia="仿宋" w:cs="仿宋"/>
          <w:color w:val="000000"/>
          <w:sz w:val="24"/>
          <w:szCs w:val="24"/>
          <w:u w:val="single"/>
        </w:rPr>
        <w:t>（盖CA电子公章）</w:t>
      </w:r>
    </w:p>
    <w:p w14:paraId="44E88560">
      <w:pPr>
        <w:pStyle w:val="460"/>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单位地址：</w:t>
      </w:r>
      <w:r>
        <w:rPr>
          <w:rFonts w:hint="eastAsia" w:ascii="仿宋" w:hAnsi="仿宋" w:eastAsia="仿宋" w:cs="仿宋"/>
          <w:color w:val="000000"/>
          <w:sz w:val="24"/>
          <w:szCs w:val="24"/>
          <w:u w:val="single"/>
        </w:rPr>
        <w:t xml:space="preserve">                                         </w:t>
      </w:r>
    </w:p>
    <w:p w14:paraId="24A53E5F">
      <w:pPr>
        <w:pStyle w:val="460"/>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日期：</w:t>
      </w:r>
      <w:bookmarkStart w:id="143" w:name="_格式3__银行出具的资信证明"/>
      <w:bookmarkEnd w:id="143"/>
      <w:bookmarkStart w:id="144" w:name="_Hlt26955070"/>
      <w:bookmarkEnd w:id="144"/>
      <w:bookmarkStart w:id="145" w:name="_Hlt26671380"/>
      <w:bookmarkEnd w:id="145"/>
      <w:r>
        <w:rPr>
          <w:rFonts w:hint="eastAsia" w:ascii="仿宋" w:hAnsi="仿宋" w:eastAsia="仿宋" w:cs="仿宋"/>
          <w:color w:val="000000"/>
          <w:sz w:val="24"/>
          <w:szCs w:val="24"/>
          <w:u w:val="single"/>
        </w:rPr>
        <w:t xml:space="preserve">                                         </w:t>
      </w:r>
    </w:p>
    <w:p w14:paraId="1A6424D8">
      <w:pPr>
        <w:pStyle w:val="345"/>
        <w:spacing w:line="700" w:lineRule="exact"/>
        <w:ind w:firstLine="629"/>
        <w:rPr>
          <w:rFonts w:hint="eastAsia" w:ascii="仿宋" w:hAnsi="仿宋" w:eastAsia="仿宋" w:cs="仿宋"/>
          <w:color w:val="000000"/>
          <w:sz w:val="24"/>
        </w:rPr>
      </w:pPr>
    </w:p>
    <w:p w14:paraId="0019B2AD">
      <w:pPr>
        <w:pStyle w:val="348"/>
        <w:outlineLvl w:val="1"/>
        <w:rPr>
          <w:rFonts w:hint="eastAsia" w:ascii="仿宋" w:hAnsi="仿宋" w:eastAsia="仿宋" w:cs="仿宋"/>
          <w:color w:val="000000"/>
        </w:rPr>
      </w:pPr>
      <w:r>
        <w:rPr>
          <w:rFonts w:hint="eastAsia" w:ascii="仿宋" w:hAnsi="仿宋" w:eastAsia="仿宋" w:cs="仿宋"/>
          <w:color w:val="000000"/>
        </w:rPr>
        <w:br w:type="page" w:clear="all"/>
      </w:r>
      <w:bookmarkStart w:id="146" w:name="_Toc30543"/>
      <w:bookmarkStart w:id="147" w:name="_Toc27199"/>
      <w:bookmarkStart w:id="148" w:name="_Toc13550"/>
      <w:r>
        <w:rPr>
          <w:rFonts w:hint="eastAsia" w:ascii="仿宋" w:hAnsi="仿宋" w:eastAsia="仿宋" w:cs="仿宋"/>
          <w:b/>
          <w:bCs w:val="0"/>
          <w:color w:val="000000"/>
        </w:rPr>
        <w:t>三、开标一览表</w:t>
      </w:r>
      <w:bookmarkEnd w:id="146"/>
      <w:bookmarkEnd w:id="147"/>
      <w:bookmarkEnd w:id="148"/>
    </w:p>
    <w:p w14:paraId="07B1F6A8">
      <w:pPr>
        <w:pStyle w:val="349"/>
        <w:rPr>
          <w:rFonts w:hint="eastAsia" w:ascii="仿宋" w:hAnsi="仿宋" w:eastAsia="仿宋" w:cs="仿宋"/>
          <w:color w:val="000000"/>
        </w:rPr>
      </w:pPr>
    </w:p>
    <w:p w14:paraId="5C20DCA2">
      <w:pPr>
        <w:pStyle w:val="349"/>
        <w:rPr>
          <w:rFonts w:hint="eastAsia" w:ascii="仿宋" w:hAnsi="仿宋" w:eastAsia="仿宋" w:cs="仿宋"/>
          <w:color w:val="000000"/>
        </w:rPr>
      </w:pPr>
      <w:r>
        <w:rPr>
          <w:rFonts w:hint="eastAsia" w:ascii="仿宋" w:hAnsi="仿宋" w:eastAsia="仿宋" w:cs="仿宋"/>
          <w:color w:val="000000"/>
        </w:rPr>
        <w:t>投标人全称(CA公章) ：</w:t>
      </w:r>
    </w:p>
    <w:p w14:paraId="6343C852">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采购项目编号：</w:t>
      </w:r>
      <w:r>
        <w:rPr>
          <w:rFonts w:hint="eastAsia" w:ascii="仿宋" w:hAnsi="仿宋" w:eastAsia="仿宋" w:cs="仿宋"/>
          <w:color w:val="000000"/>
          <w:sz w:val="24"/>
          <w:szCs w:val="24"/>
          <w:u w:val="none"/>
          <w:lang w:val="en-US" w:eastAsia="zh-CN"/>
        </w:rPr>
        <w:t xml:space="preserve">JSZC-321324-JZCG-G2026-0012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采购项目名称</w:t>
      </w:r>
      <w:r>
        <w:rPr>
          <w:rFonts w:hint="eastAsia" w:ascii="仿宋" w:hAnsi="仿宋" w:eastAsia="仿宋" w:cs="仿宋"/>
          <w:color w:val="000000"/>
          <w:sz w:val="24"/>
          <w:szCs w:val="24"/>
          <w:u w:val="none"/>
        </w:rPr>
        <w:t>：</w:t>
      </w:r>
      <w:r>
        <w:rPr>
          <w:rFonts w:hint="eastAsia" w:ascii="仿宋" w:hAnsi="仿宋" w:eastAsia="仿宋" w:cs="仿宋"/>
          <w:color w:val="000000"/>
          <w:sz w:val="24"/>
          <w:szCs w:val="24"/>
          <w:u w:val="none"/>
          <w:lang w:val="en-US" w:eastAsia="zh-CN"/>
        </w:rPr>
        <w:t>泗洪县政务服务中心保洁服务采购项目</w:t>
      </w:r>
    </w:p>
    <w:tbl>
      <w:tblPr>
        <w:tblStyle w:val="4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7904"/>
        <w:gridCol w:w="618"/>
      </w:tblGrid>
      <w:tr w14:paraId="270D3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blHeader/>
        </w:trPr>
        <w:tc>
          <w:tcPr>
            <w:tcW w:w="8760" w:type="dxa"/>
            <w:noWrap w:val="0"/>
            <w:tcMar>
              <w:top w:w="100" w:type="dxa"/>
              <w:bottom w:w="100" w:type="dxa"/>
            </w:tcMar>
            <w:vAlign w:val="center"/>
          </w:tcPr>
          <w:p w14:paraId="25305299">
            <w:pPr>
              <w:rPr>
                <w:rFonts w:hint="eastAsia" w:ascii="仿宋" w:hAnsi="仿宋" w:eastAsia="仿宋" w:cs="仿宋"/>
              </w:rPr>
            </w:pPr>
            <w:r>
              <w:rPr>
                <w:rFonts w:hint="eastAsia" w:ascii="仿宋" w:hAnsi="仿宋" w:eastAsia="仿宋" w:cs="仿宋"/>
              </w:rPr>
              <w:t>标题</w:t>
            </w:r>
          </w:p>
        </w:tc>
        <w:tc>
          <w:tcPr>
            <w:tcW w:w="640" w:type="dxa"/>
            <w:noWrap w:val="0"/>
            <w:tcMar>
              <w:top w:w="100" w:type="dxa"/>
              <w:bottom w:w="100" w:type="dxa"/>
            </w:tcMar>
            <w:vAlign w:val="center"/>
          </w:tcPr>
          <w:p w14:paraId="0C50AFEC">
            <w:pPr>
              <w:rPr>
                <w:rFonts w:hint="eastAsia" w:ascii="仿宋" w:hAnsi="仿宋" w:eastAsia="仿宋" w:cs="仿宋"/>
              </w:rPr>
            </w:pPr>
            <w:r>
              <w:rPr>
                <w:rFonts w:hint="eastAsia" w:ascii="仿宋" w:hAnsi="仿宋" w:eastAsia="仿宋" w:cs="仿宋"/>
              </w:rPr>
              <w:t>内容</w:t>
            </w:r>
          </w:p>
        </w:tc>
      </w:tr>
      <w:tr w14:paraId="238AD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blHeader/>
        </w:trPr>
        <w:tc>
          <w:tcPr>
            <w:tcW w:w="8760" w:type="dxa"/>
            <w:noWrap w:val="0"/>
            <w:tcMar>
              <w:top w:w="100" w:type="dxa"/>
              <w:bottom w:w="100" w:type="dxa"/>
            </w:tcMar>
            <w:vAlign w:val="center"/>
          </w:tcPr>
          <w:p w14:paraId="69D9E746">
            <w:pPr>
              <w:rPr>
                <w:rFonts w:hint="eastAsia" w:ascii="仿宋" w:hAnsi="仿宋" w:eastAsia="仿宋" w:cs="仿宋"/>
              </w:rPr>
            </w:pPr>
            <w:r>
              <w:rPr>
                <w:rFonts w:hint="eastAsia" w:ascii="仿宋" w:hAnsi="仿宋" w:eastAsia="仿宋" w:cs="仿宋"/>
              </w:rPr>
              <w:t>投标总报价</w:t>
            </w:r>
          </w:p>
        </w:tc>
        <w:tc>
          <w:tcPr>
            <w:tcW w:w="640" w:type="dxa"/>
            <w:noWrap w:val="0"/>
            <w:tcMar>
              <w:top w:w="100" w:type="dxa"/>
              <w:bottom w:w="100" w:type="dxa"/>
            </w:tcMar>
            <w:vAlign w:val="center"/>
          </w:tcPr>
          <w:p w14:paraId="4F99B58D">
            <w:pPr>
              <w:rPr>
                <w:rFonts w:hint="eastAsia" w:ascii="仿宋" w:hAnsi="仿宋" w:eastAsia="仿宋" w:cs="仿宋"/>
              </w:rPr>
            </w:pPr>
            <w:r>
              <w:rPr>
                <w:rFonts w:hint="eastAsia" w:ascii="仿宋" w:hAnsi="仿宋" w:eastAsia="仿宋" w:cs="仿宋"/>
              </w:rPr>
              <w:t>元</w:t>
            </w:r>
          </w:p>
        </w:tc>
      </w:tr>
    </w:tbl>
    <w:p w14:paraId="7F2490C3">
      <w:pPr>
        <w:rPr>
          <w:rFonts w:hint="eastAsia" w:ascii="仿宋" w:hAnsi="仿宋" w:eastAsia="仿宋" w:cs="仿宋"/>
          <w:color w:val="000000"/>
          <w:lang w:val="en-US" w:eastAsia="zh-CN"/>
        </w:rPr>
      </w:pPr>
      <w:r>
        <w:rPr>
          <w:rFonts w:hint="eastAsia" w:ascii="仿宋" w:hAnsi="仿宋" w:eastAsia="仿宋" w:cs="仿宋"/>
          <w:color w:val="000000"/>
          <w:lang w:val="en-US" w:eastAsia="zh-CN"/>
        </w:rPr>
        <w:t>注：按每年总价报价</w:t>
      </w:r>
    </w:p>
    <w:p w14:paraId="5B3492FE">
      <w:pPr>
        <w:rPr>
          <w:rFonts w:hint="eastAsia" w:ascii="仿宋" w:hAnsi="仿宋" w:eastAsia="仿宋" w:cs="仿宋"/>
          <w:color w:val="000000"/>
        </w:rPr>
      </w:pPr>
    </w:p>
    <w:p w14:paraId="769DA4B9">
      <w:pPr>
        <w:rPr>
          <w:rFonts w:hint="eastAsia" w:ascii="仿宋" w:hAnsi="仿宋" w:eastAsia="仿宋" w:cs="仿宋"/>
          <w:color w:val="000000"/>
        </w:rPr>
      </w:pPr>
    </w:p>
    <w:p w14:paraId="2EADFD26">
      <w:pPr>
        <w:rPr>
          <w:rFonts w:hint="eastAsia" w:ascii="仿宋" w:hAnsi="仿宋" w:eastAsia="仿宋" w:cs="仿宋"/>
          <w:color w:val="000000"/>
          <w:sz w:val="24"/>
        </w:rPr>
      </w:pPr>
      <w:r>
        <w:rPr>
          <w:rFonts w:hint="eastAsia" w:ascii="仿宋" w:hAnsi="仿宋" w:eastAsia="仿宋" w:cs="仿宋"/>
          <w:color w:val="000000"/>
        </w:rPr>
        <w:t xml:space="preserve">                                            </w:t>
      </w:r>
      <w:bookmarkStart w:id="149" w:name="_Toc12113"/>
      <w:r>
        <w:rPr>
          <w:rFonts w:hint="eastAsia" w:ascii="仿宋" w:hAnsi="仿宋" w:eastAsia="仿宋" w:cs="仿宋"/>
          <w:color w:val="000000"/>
          <w:sz w:val="24"/>
        </w:rPr>
        <w:t>日期：     年     月     日</w:t>
      </w:r>
      <w:bookmarkEnd w:id="149"/>
    </w:p>
    <w:p w14:paraId="333514FA">
      <w:pPr>
        <w:pStyle w:val="351"/>
        <w:outlineLvl w:val="1"/>
        <w:rPr>
          <w:rFonts w:hint="eastAsia" w:ascii="仿宋" w:hAnsi="仿宋" w:eastAsia="仿宋" w:cs="仿宋"/>
          <w:color w:val="000000"/>
        </w:rPr>
      </w:pPr>
      <w:r>
        <w:rPr>
          <w:rFonts w:hint="eastAsia" w:ascii="仿宋" w:hAnsi="仿宋" w:eastAsia="仿宋" w:cs="仿宋"/>
          <w:color w:val="000000"/>
        </w:rPr>
        <w:br w:type="page" w:clear="all"/>
      </w:r>
      <w:bookmarkStart w:id="150" w:name="_Toc26543"/>
      <w:bookmarkStart w:id="151" w:name="_Toc956"/>
      <w:bookmarkStart w:id="152" w:name="_Toc12614"/>
      <w:r>
        <w:rPr>
          <w:rFonts w:hint="eastAsia" w:ascii="仿宋" w:hAnsi="仿宋" w:eastAsia="仿宋" w:cs="仿宋"/>
          <w:b/>
          <w:bCs w:val="0"/>
          <w:color w:val="000000"/>
        </w:rPr>
        <w:t>四、</w:t>
      </w:r>
      <w:bookmarkEnd w:id="150"/>
      <w:bookmarkEnd w:id="151"/>
      <w:r>
        <w:rPr>
          <w:rFonts w:hint="eastAsia" w:ascii="仿宋" w:hAnsi="仿宋" w:eastAsia="仿宋" w:cs="仿宋"/>
          <w:b/>
          <w:bCs w:val="0"/>
          <w:color w:val="000000"/>
        </w:rPr>
        <w:t>分项报价表</w:t>
      </w:r>
      <w:bookmarkEnd w:id="152"/>
    </w:p>
    <w:tbl>
      <w:tblPr>
        <w:tblStyle w:val="40"/>
        <w:tblW w:w="88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4"/>
        <w:gridCol w:w="1545"/>
        <w:gridCol w:w="1755"/>
        <w:gridCol w:w="1545"/>
        <w:gridCol w:w="975"/>
        <w:gridCol w:w="1020"/>
        <w:gridCol w:w="1215"/>
      </w:tblGrid>
      <w:tr w14:paraId="31181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8829" w:type="dxa"/>
            <w:gridSpan w:val="7"/>
            <w:noWrap w:val="0"/>
            <w:vAlign w:val="center"/>
          </w:tcPr>
          <w:p w14:paraId="298B46FB">
            <w:pPr>
              <w:pStyle w:val="399"/>
              <w:widowControl/>
              <w:spacing w:line="360" w:lineRule="exact"/>
              <w:jc w:val="center"/>
              <w:rPr>
                <w:rFonts w:hint="eastAsia" w:ascii="仿宋" w:hAnsi="仿宋" w:eastAsia="仿宋" w:cs="仿宋"/>
                <w:sz w:val="24"/>
                <w:szCs w:val="24"/>
              </w:rPr>
            </w:pPr>
            <w:bookmarkStart w:id="153" w:name="_Toc17418"/>
            <w:r>
              <w:rPr>
                <w:rFonts w:hint="eastAsia" w:ascii="仿宋" w:hAnsi="仿宋" w:eastAsia="仿宋" w:cs="仿宋"/>
                <w:sz w:val="24"/>
                <w:szCs w:val="24"/>
              </w:rPr>
              <w:t>工资、保险</w:t>
            </w:r>
          </w:p>
        </w:tc>
      </w:tr>
      <w:tr w14:paraId="73C39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774" w:type="dxa"/>
            <w:noWrap w:val="0"/>
            <w:vAlign w:val="center"/>
          </w:tcPr>
          <w:p w14:paraId="021575A5">
            <w:pPr>
              <w:pStyle w:val="39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545" w:type="dxa"/>
            <w:noWrap w:val="0"/>
            <w:vAlign w:val="center"/>
          </w:tcPr>
          <w:p w14:paraId="578064A2">
            <w:pPr>
              <w:pStyle w:val="39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项目</w:t>
            </w:r>
          </w:p>
        </w:tc>
        <w:tc>
          <w:tcPr>
            <w:tcW w:w="1755" w:type="dxa"/>
            <w:noWrap w:val="0"/>
            <w:vAlign w:val="center"/>
          </w:tcPr>
          <w:p w14:paraId="6F993D52">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分项内容</w:t>
            </w:r>
          </w:p>
        </w:tc>
        <w:tc>
          <w:tcPr>
            <w:tcW w:w="1545" w:type="dxa"/>
            <w:noWrap w:val="0"/>
            <w:vAlign w:val="center"/>
          </w:tcPr>
          <w:p w14:paraId="7116EFDA">
            <w:pPr>
              <w:pStyle w:val="39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费用单价/</w:t>
            </w:r>
          </w:p>
          <w:p w14:paraId="7A734725">
            <w:pPr>
              <w:pStyle w:val="39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月工资</w:t>
            </w:r>
          </w:p>
          <w:p w14:paraId="492B6457">
            <w:pPr>
              <w:pStyle w:val="39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（元）</w:t>
            </w:r>
          </w:p>
        </w:tc>
        <w:tc>
          <w:tcPr>
            <w:tcW w:w="975" w:type="dxa"/>
            <w:noWrap w:val="0"/>
            <w:vAlign w:val="center"/>
          </w:tcPr>
          <w:p w14:paraId="6E811DD6">
            <w:pPr>
              <w:pStyle w:val="39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人数</w:t>
            </w:r>
          </w:p>
        </w:tc>
        <w:tc>
          <w:tcPr>
            <w:tcW w:w="1020" w:type="dxa"/>
            <w:noWrap w:val="0"/>
            <w:vAlign w:val="center"/>
          </w:tcPr>
          <w:p w14:paraId="0BE60694">
            <w:pPr>
              <w:pStyle w:val="39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月数</w:t>
            </w:r>
          </w:p>
        </w:tc>
        <w:tc>
          <w:tcPr>
            <w:tcW w:w="1215" w:type="dxa"/>
            <w:noWrap w:val="0"/>
            <w:vAlign w:val="center"/>
          </w:tcPr>
          <w:p w14:paraId="57EE0360">
            <w:pPr>
              <w:pStyle w:val="39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合价/</w:t>
            </w:r>
          </w:p>
          <w:p w14:paraId="6A3FE0E3">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年工资</w:t>
            </w:r>
          </w:p>
          <w:p w14:paraId="0CF2E842">
            <w:pPr>
              <w:pStyle w:val="39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（元）</w:t>
            </w:r>
          </w:p>
        </w:tc>
      </w:tr>
      <w:tr w14:paraId="508C6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3" w:hRule="atLeast"/>
          <w:jc w:val="center"/>
        </w:trPr>
        <w:tc>
          <w:tcPr>
            <w:tcW w:w="774" w:type="dxa"/>
            <w:noWrap w:val="0"/>
            <w:vAlign w:val="center"/>
          </w:tcPr>
          <w:p w14:paraId="2F302595">
            <w:pPr>
              <w:pStyle w:val="400"/>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1545" w:type="dxa"/>
            <w:vMerge w:val="restart"/>
            <w:noWrap w:val="0"/>
            <w:vAlign w:val="center"/>
          </w:tcPr>
          <w:p w14:paraId="521AB1AD">
            <w:pPr>
              <w:pStyle w:val="400"/>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人员工资</w:t>
            </w:r>
          </w:p>
        </w:tc>
        <w:tc>
          <w:tcPr>
            <w:tcW w:w="1755" w:type="dxa"/>
            <w:noWrap w:val="0"/>
            <w:vAlign w:val="center"/>
          </w:tcPr>
          <w:p w14:paraId="66E4856D">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项目经理</w:t>
            </w:r>
          </w:p>
        </w:tc>
        <w:tc>
          <w:tcPr>
            <w:tcW w:w="1545" w:type="dxa"/>
            <w:noWrap w:val="0"/>
            <w:vAlign w:val="center"/>
          </w:tcPr>
          <w:p w14:paraId="73F9AA75">
            <w:pPr>
              <w:spacing w:line="500" w:lineRule="exact"/>
              <w:jc w:val="center"/>
              <w:rPr>
                <w:rFonts w:hint="eastAsia" w:ascii="仿宋" w:hAnsi="仿宋" w:eastAsia="仿宋" w:cs="仿宋"/>
                <w:sz w:val="24"/>
                <w:szCs w:val="24"/>
                <w:lang w:val="en-US" w:eastAsia="zh-CN"/>
              </w:rPr>
            </w:pPr>
          </w:p>
        </w:tc>
        <w:tc>
          <w:tcPr>
            <w:tcW w:w="975" w:type="dxa"/>
            <w:noWrap w:val="0"/>
            <w:vAlign w:val="center"/>
          </w:tcPr>
          <w:p w14:paraId="34A34F57">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020" w:type="dxa"/>
            <w:noWrap w:val="0"/>
            <w:vAlign w:val="center"/>
          </w:tcPr>
          <w:p w14:paraId="598B65DA">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215" w:type="dxa"/>
            <w:noWrap w:val="0"/>
            <w:vAlign w:val="center"/>
          </w:tcPr>
          <w:p w14:paraId="71DEFAA1">
            <w:pPr>
              <w:pStyle w:val="400"/>
              <w:spacing w:line="360" w:lineRule="exact"/>
              <w:jc w:val="center"/>
              <w:rPr>
                <w:rFonts w:hint="eastAsia" w:ascii="仿宋" w:hAnsi="仿宋" w:eastAsia="仿宋" w:cs="仿宋"/>
                <w:sz w:val="24"/>
                <w:szCs w:val="24"/>
              </w:rPr>
            </w:pPr>
          </w:p>
        </w:tc>
      </w:tr>
      <w:tr w14:paraId="1A6AF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774" w:type="dxa"/>
            <w:noWrap w:val="0"/>
            <w:vAlign w:val="center"/>
          </w:tcPr>
          <w:p w14:paraId="53B79BDF">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545" w:type="dxa"/>
            <w:vMerge w:val="continue"/>
            <w:noWrap w:val="0"/>
            <w:vAlign w:val="center"/>
          </w:tcPr>
          <w:p w14:paraId="5984A89C">
            <w:pPr>
              <w:pStyle w:val="339"/>
              <w:widowControl/>
              <w:spacing w:line="360" w:lineRule="exact"/>
              <w:jc w:val="left"/>
              <w:rPr>
                <w:rFonts w:hint="eastAsia" w:ascii="仿宋" w:hAnsi="仿宋" w:eastAsia="仿宋" w:cs="仿宋"/>
                <w:sz w:val="24"/>
                <w:szCs w:val="24"/>
              </w:rPr>
            </w:pPr>
          </w:p>
        </w:tc>
        <w:tc>
          <w:tcPr>
            <w:tcW w:w="1755" w:type="dxa"/>
            <w:shd w:val="clear" w:color="auto" w:fill="auto"/>
            <w:noWrap w:val="0"/>
            <w:vAlign w:val="center"/>
          </w:tcPr>
          <w:p w14:paraId="5F3FF642">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保洁员</w:t>
            </w:r>
          </w:p>
        </w:tc>
        <w:tc>
          <w:tcPr>
            <w:tcW w:w="1545" w:type="dxa"/>
            <w:shd w:val="clear" w:color="auto" w:fill="auto"/>
            <w:noWrap w:val="0"/>
            <w:vAlign w:val="center"/>
          </w:tcPr>
          <w:p w14:paraId="37F79479">
            <w:pPr>
              <w:spacing w:line="500" w:lineRule="exact"/>
              <w:jc w:val="center"/>
              <w:rPr>
                <w:rFonts w:hint="eastAsia" w:ascii="仿宋" w:hAnsi="仿宋" w:eastAsia="仿宋" w:cs="仿宋"/>
                <w:sz w:val="24"/>
                <w:szCs w:val="24"/>
                <w:lang w:val="en-US" w:eastAsia="zh-CN"/>
              </w:rPr>
            </w:pPr>
          </w:p>
        </w:tc>
        <w:tc>
          <w:tcPr>
            <w:tcW w:w="975" w:type="dxa"/>
            <w:shd w:val="clear" w:color="auto" w:fill="auto"/>
            <w:noWrap w:val="0"/>
            <w:vAlign w:val="top"/>
          </w:tcPr>
          <w:p w14:paraId="34021D6F">
            <w:pPr>
              <w:spacing w:line="5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19</w:t>
            </w:r>
          </w:p>
        </w:tc>
        <w:tc>
          <w:tcPr>
            <w:tcW w:w="1020" w:type="dxa"/>
            <w:noWrap w:val="0"/>
            <w:vAlign w:val="center"/>
          </w:tcPr>
          <w:p w14:paraId="08866CBB">
            <w:pPr>
              <w:spacing w:line="3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12</w:t>
            </w:r>
          </w:p>
        </w:tc>
        <w:tc>
          <w:tcPr>
            <w:tcW w:w="1215" w:type="dxa"/>
            <w:noWrap w:val="0"/>
            <w:vAlign w:val="center"/>
          </w:tcPr>
          <w:p w14:paraId="6F28CC3D">
            <w:pPr>
              <w:pStyle w:val="400"/>
              <w:spacing w:line="360" w:lineRule="exact"/>
              <w:jc w:val="center"/>
              <w:rPr>
                <w:rFonts w:hint="eastAsia" w:ascii="仿宋" w:hAnsi="仿宋" w:eastAsia="仿宋" w:cs="仿宋"/>
                <w:sz w:val="24"/>
                <w:szCs w:val="24"/>
              </w:rPr>
            </w:pPr>
          </w:p>
        </w:tc>
      </w:tr>
      <w:tr w14:paraId="1ED18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3" w:hRule="atLeast"/>
          <w:jc w:val="center"/>
        </w:trPr>
        <w:tc>
          <w:tcPr>
            <w:tcW w:w="774" w:type="dxa"/>
            <w:noWrap w:val="0"/>
            <w:vAlign w:val="center"/>
          </w:tcPr>
          <w:p w14:paraId="69F477EB">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545" w:type="dxa"/>
            <w:vMerge w:val="restart"/>
            <w:noWrap w:val="0"/>
            <w:vAlign w:val="center"/>
          </w:tcPr>
          <w:p w14:paraId="6A23D86F">
            <w:pPr>
              <w:pStyle w:val="339"/>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保险费用</w:t>
            </w:r>
          </w:p>
        </w:tc>
        <w:tc>
          <w:tcPr>
            <w:tcW w:w="1755" w:type="dxa"/>
            <w:noWrap w:val="0"/>
            <w:vAlign w:val="center"/>
          </w:tcPr>
          <w:p w14:paraId="6791DD16">
            <w:pPr>
              <w:pStyle w:val="400"/>
              <w:spacing w:line="360" w:lineRule="exact"/>
              <w:jc w:val="center"/>
              <w:rPr>
                <w:rFonts w:hint="eastAsia" w:ascii="仿宋" w:hAnsi="仿宋" w:eastAsia="仿宋" w:cs="仿宋"/>
                <w:sz w:val="24"/>
                <w:szCs w:val="24"/>
              </w:rPr>
            </w:pPr>
            <w:r>
              <w:rPr>
                <w:rFonts w:hint="eastAsia" w:ascii="仿宋" w:hAnsi="仿宋" w:eastAsia="仿宋" w:cs="仿宋"/>
                <w:sz w:val="24"/>
                <w:szCs w:val="24"/>
              </w:rPr>
              <w:t>意外险</w:t>
            </w:r>
          </w:p>
        </w:tc>
        <w:tc>
          <w:tcPr>
            <w:tcW w:w="1545" w:type="dxa"/>
            <w:noWrap w:val="0"/>
            <w:vAlign w:val="center"/>
          </w:tcPr>
          <w:p w14:paraId="4B34D04F">
            <w:pPr>
              <w:pStyle w:val="400"/>
              <w:spacing w:line="360" w:lineRule="exact"/>
              <w:jc w:val="center"/>
              <w:rPr>
                <w:rFonts w:hint="eastAsia" w:ascii="仿宋" w:hAnsi="仿宋" w:eastAsia="仿宋" w:cs="仿宋"/>
                <w:sz w:val="24"/>
                <w:szCs w:val="24"/>
              </w:rPr>
            </w:pPr>
          </w:p>
        </w:tc>
        <w:tc>
          <w:tcPr>
            <w:tcW w:w="975" w:type="dxa"/>
            <w:noWrap w:val="0"/>
            <w:vAlign w:val="center"/>
          </w:tcPr>
          <w:p w14:paraId="498795FD">
            <w:pPr>
              <w:spacing w:line="3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20</w:t>
            </w:r>
          </w:p>
        </w:tc>
        <w:tc>
          <w:tcPr>
            <w:tcW w:w="1020" w:type="dxa"/>
            <w:noWrap w:val="0"/>
            <w:vAlign w:val="center"/>
          </w:tcPr>
          <w:p w14:paraId="03C3E98D">
            <w:pPr>
              <w:spacing w:line="360" w:lineRule="exact"/>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12</w:t>
            </w:r>
          </w:p>
        </w:tc>
        <w:tc>
          <w:tcPr>
            <w:tcW w:w="1215" w:type="dxa"/>
            <w:noWrap w:val="0"/>
            <w:vAlign w:val="center"/>
          </w:tcPr>
          <w:p w14:paraId="094E198A">
            <w:pPr>
              <w:pStyle w:val="400"/>
              <w:spacing w:line="360" w:lineRule="exact"/>
              <w:jc w:val="center"/>
              <w:rPr>
                <w:rFonts w:hint="eastAsia" w:ascii="仿宋" w:hAnsi="仿宋" w:eastAsia="仿宋" w:cs="仿宋"/>
                <w:sz w:val="24"/>
                <w:szCs w:val="24"/>
              </w:rPr>
            </w:pPr>
          </w:p>
        </w:tc>
      </w:tr>
      <w:tr w14:paraId="51C22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1" w:hRule="atLeast"/>
          <w:jc w:val="center"/>
        </w:trPr>
        <w:tc>
          <w:tcPr>
            <w:tcW w:w="774" w:type="dxa"/>
            <w:noWrap w:val="0"/>
            <w:vAlign w:val="center"/>
          </w:tcPr>
          <w:p w14:paraId="3DC1CBE5">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545" w:type="dxa"/>
            <w:vMerge w:val="continue"/>
            <w:noWrap w:val="0"/>
            <w:vAlign w:val="center"/>
          </w:tcPr>
          <w:p w14:paraId="53E87CB5">
            <w:pPr>
              <w:pStyle w:val="339"/>
              <w:widowControl/>
              <w:spacing w:line="360" w:lineRule="exact"/>
              <w:jc w:val="center"/>
              <w:rPr>
                <w:rFonts w:hint="eastAsia" w:ascii="仿宋" w:hAnsi="仿宋" w:eastAsia="仿宋" w:cs="仿宋"/>
                <w:sz w:val="24"/>
                <w:szCs w:val="24"/>
              </w:rPr>
            </w:pPr>
          </w:p>
        </w:tc>
        <w:tc>
          <w:tcPr>
            <w:tcW w:w="1755" w:type="dxa"/>
            <w:noWrap w:val="0"/>
            <w:vAlign w:val="center"/>
          </w:tcPr>
          <w:p w14:paraId="566C132F">
            <w:pPr>
              <w:pStyle w:val="400"/>
              <w:spacing w:line="360" w:lineRule="exact"/>
              <w:jc w:val="center"/>
              <w:rPr>
                <w:rFonts w:hint="eastAsia" w:ascii="仿宋" w:hAnsi="仿宋" w:eastAsia="仿宋" w:cs="仿宋"/>
                <w:sz w:val="24"/>
                <w:szCs w:val="24"/>
              </w:rPr>
            </w:pPr>
            <w:r>
              <w:rPr>
                <w:rFonts w:hint="eastAsia" w:ascii="仿宋" w:hAnsi="仿宋" w:eastAsia="仿宋" w:cs="仿宋"/>
                <w:sz w:val="24"/>
                <w:szCs w:val="24"/>
              </w:rPr>
              <w:t>社保</w:t>
            </w:r>
          </w:p>
          <w:p w14:paraId="713F22AA">
            <w:pPr>
              <w:pStyle w:val="400"/>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项目经理</w:t>
            </w:r>
            <w:r>
              <w:rPr>
                <w:rFonts w:hint="eastAsia" w:ascii="仿宋" w:hAnsi="仿宋" w:eastAsia="仿宋" w:cs="仿宋"/>
                <w:sz w:val="24"/>
                <w:szCs w:val="24"/>
                <w:lang w:eastAsia="zh-CN"/>
              </w:rPr>
              <w:t>）</w:t>
            </w:r>
          </w:p>
        </w:tc>
        <w:tc>
          <w:tcPr>
            <w:tcW w:w="1545" w:type="dxa"/>
            <w:noWrap w:val="0"/>
            <w:vAlign w:val="center"/>
          </w:tcPr>
          <w:p w14:paraId="6BAFF5DD">
            <w:pPr>
              <w:pStyle w:val="400"/>
              <w:spacing w:line="360" w:lineRule="exact"/>
              <w:jc w:val="center"/>
              <w:rPr>
                <w:rFonts w:hint="eastAsia" w:ascii="仿宋" w:hAnsi="仿宋" w:eastAsia="仿宋" w:cs="仿宋"/>
                <w:sz w:val="24"/>
                <w:szCs w:val="24"/>
              </w:rPr>
            </w:pPr>
          </w:p>
        </w:tc>
        <w:tc>
          <w:tcPr>
            <w:tcW w:w="975" w:type="dxa"/>
            <w:noWrap w:val="0"/>
            <w:vAlign w:val="center"/>
          </w:tcPr>
          <w:p w14:paraId="11FBFB9C">
            <w:pPr>
              <w:pStyle w:val="400"/>
              <w:widowControl/>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020" w:type="dxa"/>
            <w:noWrap w:val="0"/>
            <w:vAlign w:val="center"/>
          </w:tcPr>
          <w:p w14:paraId="4C0EDC37">
            <w:pPr>
              <w:spacing w:line="360" w:lineRule="exact"/>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12</w:t>
            </w:r>
          </w:p>
        </w:tc>
        <w:tc>
          <w:tcPr>
            <w:tcW w:w="1215" w:type="dxa"/>
            <w:noWrap w:val="0"/>
            <w:vAlign w:val="center"/>
          </w:tcPr>
          <w:p w14:paraId="7531896E">
            <w:pPr>
              <w:pStyle w:val="400"/>
              <w:spacing w:line="360" w:lineRule="exact"/>
              <w:jc w:val="center"/>
              <w:rPr>
                <w:rFonts w:hint="eastAsia" w:ascii="仿宋" w:hAnsi="仿宋" w:eastAsia="仿宋" w:cs="仿宋"/>
                <w:sz w:val="24"/>
                <w:szCs w:val="24"/>
              </w:rPr>
            </w:pPr>
          </w:p>
        </w:tc>
      </w:tr>
      <w:tr w14:paraId="0E62B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7" w:hRule="atLeast"/>
          <w:jc w:val="center"/>
        </w:trPr>
        <w:tc>
          <w:tcPr>
            <w:tcW w:w="8829" w:type="dxa"/>
            <w:gridSpan w:val="7"/>
            <w:noWrap w:val="0"/>
            <w:vAlign w:val="center"/>
          </w:tcPr>
          <w:p w14:paraId="56561DF8">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其他费用</w:t>
            </w:r>
          </w:p>
        </w:tc>
      </w:tr>
      <w:tr w14:paraId="183FB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774" w:type="dxa"/>
            <w:noWrap w:val="0"/>
            <w:vAlign w:val="center"/>
          </w:tcPr>
          <w:p w14:paraId="0BF86CFB">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1545" w:type="dxa"/>
            <w:noWrap w:val="0"/>
            <w:vAlign w:val="center"/>
          </w:tcPr>
          <w:p w14:paraId="31026B9D">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w:t>
            </w:r>
          </w:p>
        </w:tc>
        <w:tc>
          <w:tcPr>
            <w:tcW w:w="6510" w:type="dxa"/>
            <w:gridSpan w:val="5"/>
            <w:noWrap w:val="0"/>
            <w:vAlign w:val="center"/>
          </w:tcPr>
          <w:p w14:paraId="68173DDB">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分项报价（元/年）</w:t>
            </w:r>
          </w:p>
        </w:tc>
      </w:tr>
      <w:tr w14:paraId="37FC2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jc w:val="center"/>
        </w:trPr>
        <w:tc>
          <w:tcPr>
            <w:tcW w:w="774" w:type="dxa"/>
            <w:noWrap w:val="0"/>
            <w:vAlign w:val="center"/>
          </w:tcPr>
          <w:p w14:paraId="440BB01E">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545" w:type="dxa"/>
            <w:noWrap w:val="0"/>
            <w:vAlign w:val="center"/>
          </w:tcPr>
          <w:p w14:paraId="5F3F25DE">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设备(工具)或者折旧费</w:t>
            </w:r>
          </w:p>
        </w:tc>
        <w:tc>
          <w:tcPr>
            <w:tcW w:w="6510" w:type="dxa"/>
            <w:gridSpan w:val="5"/>
            <w:noWrap w:val="0"/>
            <w:vAlign w:val="center"/>
          </w:tcPr>
          <w:p w14:paraId="0D96EB14">
            <w:pPr>
              <w:pStyle w:val="400"/>
              <w:spacing w:line="360" w:lineRule="exact"/>
              <w:jc w:val="both"/>
              <w:rPr>
                <w:rFonts w:hint="eastAsia" w:ascii="仿宋" w:hAnsi="仿宋" w:eastAsia="仿宋" w:cs="仿宋"/>
                <w:sz w:val="24"/>
                <w:szCs w:val="24"/>
                <w:lang w:val="en-US" w:eastAsia="zh-CN"/>
              </w:rPr>
            </w:pPr>
          </w:p>
        </w:tc>
      </w:tr>
      <w:tr w14:paraId="6E372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5" w:hRule="atLeast"/>
          <w:jc w:val="center"/>
        </w:trPr>
        <w:tc>
          <w:tcPr>
            <w:tcW w:w="774" w:type="dxa"/>
            <w:noWrap w:val="0"/>
            <w:vAlign w:val="center"/>
          </w:tcPr>
          <w:p w14:paraId="25F8E602">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1545" w:type="dxa"/>
            <w:noWrap w:val="0"/>
            <w:vAlign w:val="center"/>
          </w:tcPr>
          <w:p w14:paraId="0628D679">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耗材费</w:t>
            </w:r>
          </w:p>
          <w:p w14:paraId="018C2655">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（办公用品等）</w:t>
            </w:r>
          </w:p>
        </w:tc>
        <w:tc>
          <w:tcPr>
            <w:tcW w:w="6510" w:type="dxa"/>
            <w:gridSpan w:val="5"/>
            <w:noWrap w:val="0"/>
            <w:vAlign w:val="center"/>
          </w:tcPr>
          <w:p w14:paraId="41046133">
            <w:pPr>
              <w:pStyle w:val="400"/>
              <w:spacing w:line="360" w:lineRule="exact"/>
              <w:jc w:val="both"/>
              <w:rPr>
                <w:rFonts w:hint="eastAsia" w:ascii="仿宋" w:hAnsi="仿宋" w:eastAsia="仿宋" w:cs="仿宋"/>
                <w:sz w:val="24"/>
                <w:szCs w:val="24"/>
                <w:lang w:val="en-US" w:eastAsia="zh-CN"/>
              </w:rPr>
            </w:pPr>
          </w:p>
        </w:tc>
      </w:tr>
      <w:tr w14:paraId="762C4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7" w:hRule="atLeast"/>
          <w:jc w:val="center"/>
        </w:trPr>
        <w:tc>
          <w:tcPr>
            <w:tcW w:w="774" w:type="dxa"/>
            <w:noWrap w:val="0"/>
            <w:vAlign w:val="center"/>
          </w:tcPr>
          <w:p w14:paraId="7FC615BB">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545" w:type="dxa"/>
            <w:noWrap w:val="0"/>
            <w:vAlign w:val="center"/>
          </w:tcPr>
          <w:p w14:paraId="1125169C">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服装费</w:t>
            </w:r>
          </w:p>
        </w:tc>
        <w:tc>
          <w:tcPr>
            <w:tcW w:w="6510" w:type="dxa"/>
            <w:gridSpan w:val="5"/>
            <w:noWrap w:val="0"/>
            <w:vAlign w:val="center"/>
          </w:tcPr>
          <w:p w14:paraId="3A8ABC66">
            <w:pPr>
              <w:pStyle w:val="400"/>
              <w:spacing w:line="360" w:lineRule="exact"/>
              <w:jc w:val="both"/>
              <w:rPr>
                <w:rFonts w:hint="eastAsia" w:ascii="仿宋" w:hAnsi="仿宋" w:eastAsia="仿宋" w:cs="仿宋"/>
                <w:sz w:val="24"/>
                <w:szCs w:val="24"/>
                <w:lang w:val="en-US" w:eastAsia="zh-CN"/>
              </w:rPr>
            </w:pPr>
          </w:p>
        </w:tc>
      </w:tr>
      <w:tr w14:paraId="39573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774" w:type="dxa"/>
            <w:noWrap w:val="0"/>
            <w:vAlign w:val="center"/>
          </w:tcPr>
          <w:p w14:paraId="071882E4">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1545" w:type="dxa"/>
            <w:noWrap w:val="0"/>
            <w:vAlign w:val="center"/>
          </w:tcPr>
          <w:p w14:paraId="619C5C04">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人员福利核算（中秋、春节、高温补贴、可能产生的加班费等）</w:t>
            </w:r>
          </w:p>
        </w:tc>
        <w:tc>
          <w:tcPr>
            <w:tcW w:w="6510" w:type="dxa"/>
            <w:gridSpan w:val="5"/>
            <w:noWrap w:val="0"/>
            <w:vAlign w:val="center"/>
          </w:tcPr>
          <w:p w14:paraId="04EBDAAC">
            <w:pPr>
              <w:pStyle w:val="400"/>
              <w:spacing w:line="360" w:lineRule="exact"/>
              <w:jc w:val="both"/>
              <w:rPr>
                <w:rFonts w:hint="eastAsia" w:ascii="仿宋" w:hAnsi="仿宋" w:eastAsia="仿宋" w:cs="仿宋"/>
                <w:sz w:val="24"/>
                <w:szCs w:val="24"/>
                <w:lang w:val="en-US" w:eastAsia="zh-CN"/>
              </w:rPr>
            </w:pPr>
          </w:p>
        </w:tc>
      </w:tr>
      <w:tr w14:paraId="37798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4" w:hRule="atLeast"/>
          <w:jc w:val="center"/>
        </w:trPr>
        <w:tc>
          <w:tcPr>
            <w:tcW w:w="774" w:type="dxa"/>
            <w:noWrap w:val="0"/>
            <w:vAlign w:val="center"/>
          </w:tcPr>
          <w:p w14:paraId="075DA1B2">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1545" w:type="dxa"/>
            <w:noWrap w:val="0"/>
            <w:vAlign w:val="center"/>
          </w:tcPr>
          <w:p w14:paraId="23B2A5D1">
            <w:pPr>
              <w:pStyle w:val="400"/>
              <w:spacing w:line="360" w:lineRule="exact"/>
              <w:jc w:val="center"/>
              <w:rPr>
                <w:rFonts w:hint="eastAsia" w:ascii="仿宋" w:hAnsi="仿宋" w:eastAsia="仿宋" w:cs="仿宋"/>
                <w:sz w:val="24"/>
                <w:szCs w:val="24"/>
              </w:rPr>
            </w:pPr>
            <w:r>
              <w:rPr>
                <w:rFonts w:hint="eastAsia" w:ascii="仿宋" w:hAnsi="仿宋" w:eastAsia="仿宋" w:cs="仿宋"/>
                <w:i/>
                <w:iCs/>
                <w:sz w:val="24"/>
                <w:szCs w:val="24"/>
              </w:rPr>
              <w:t>利润</w:t>
            </w:r>
          </w:p>
        </w:tc>
        <w:tc>
          <w:tcPr>
            <w:tcW w:w="6510" w:type="dxa"/>
            <w:gridSpan w:val="5"/>
            <w:noWrap w:val="0"/>
            <w:vAlign w:val="center"/>
          </w:tcPr>
          <w:p w14:paraId="1742518D">
            <w:pPr>
              <w:pStyle w:val="400"/>
              <w:spacing w:line="360" w:lineRule="exact"/>
              <w:jc w:val="both"/>
              <w:rPr>
                <w:rFonts w:hint="eastAsia" w:ascii="仿宋" w:hAnsi="仿宋" w:eastAsia="仿宋" w:cs="仿宋"/>
                <w:sz w:val="24"/>
                <w:szCs w:val="24"/>
              </w:rPr>
            </w:pPr>
          </w:p>
        </w:tc>
      </w:tr>
      <w:tr w14:paraId="666A1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jc w:val="center"/>
        </w:trPr>
        <w:tc>
          <w:tcPr>
            <w:tcW w:w="774" w:type="dxa"/>
            <w:noWrap w:val="0"/>
            <w:vAlign w:val="center"/>
          </w:tcPr>
          <w:p w14:paraId="2F51223E">
            <w:pPr>
              <w:pStyle w:val="400"/>
              <w:spacing w:line="36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1545" w:type="dxa"/>
            <w:noWrap w:val="0"/>
            <w:vAlign w:val="center"/>
          </w:tcPr>
          <w:p w14:paraId="57DA824C">
            <w:pPr>
              <w:pStyle w:val="400"/>
              <w:spacing w:line="360" w:lineRule="exact"/>
              <w:jc w:val="center"/>
              <w:rPr>
                <w:rFonts w:hint="eastAsia" w:ascii="仿宋" w:hAnsi="仿宋" w:eastAsia="仿宋" w:cs="仿宋"/>
                <w:sz w:val="24"/>
                <w:szCs w:val="24"/>
              </w:rPr>
            </w:pPr>
            <w:r>
              <w:rPr>
                <w:rFonts w:hint="eastAsia" w:ascii="仿宋" w:hAnsi="仿宋" w:eastAsia="仿宋" w:cs="仿宋"/>
                <w:sz w:val="24"/>
                <w:szCs w:val="24"/>
              </w:rPr>
              <w:t>其他费用（</w:t>
            </w:r>
            <w:r>
              <w:rPr>
                <w:rFonts w:hint="eastAsia" w:ascii="仿宋" w:hAnsi="仿宋" w:eastAsia="仿宋" w:cs="仿宋"/>
                <w:sz w:val="24"/>
                <w:szCs w:val="24"/>
                <w:lang w:eastAsia="zh-CN"/>
              </w:rPr>
              <w:t>供应商</w:t>
            </w:r>
            <w:r>
              <w:rPr>
                <w:rFonts w:hint="eastAsia" w:ascii="仿宋" w:hAnsi="仿宋" w:eastAsia="仿宋" w:cs="仿宋"/>
                <w:sz w:val="24"/>
                <w:szCs w:val="24"/>
              </w:rPr>
              <w:t>可以自行添加）</w:t>
            </w:r>
          </w:p>
        </w:tc>
        <w:tc>
          <w:tcPr>
            <w:tcW w:w="6510" w:type="dxa"/>
            <w:gridSpan w:val="5"/>
            <w:noWrap w:val="0"/>
            <w:vAlign w:val="center"/>
          </w:tcPr>
          <w:p w14:paraId="5E89FADD">
            <w:pPr>
              <w:pStyle w:val="400"/>
              <w:spacing w:line="360" w:lineRule="exact"/>
              <w:jc w:val="both"/>
              <w:rPr>
                <w:rFonts w:hint="eastAsia" w:ascii="仿宋" w:hAnsi="仿宋" w:eastAsia="仿宋" w:cs="仿宋"/>
                <w:sz w:val="24"/>
                <w:szCs w:val="24"/>
              </w:rPr>
            </w:pPr>
          </w:p>
        </w:tc>
      </w:tr>
      <w:tr w14:paraId="640E1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774" w:type="dxa"/>
            <w:vMerge w:val="restart"/>
            <w:noWrap w:val="0"/>
            <w:vAlign w:val="center"/>
          </w:tcPr>
          <w:p w14:paraId="2E49CF8C">
            <w:pPr>
              <w:pStyle w:val="40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1545" w:type="dxa"/>
            <w:vMerge w:val="restart"/>
            <w:noWrap w:val="0"/>
            <w:vAlign w:val="center"/>
          </w:tcPr>
          <w:p w14:paraId="59E3F4B4">
            <w:pPr>
              <w:pStyle w:val="400"/>
              <w:spacing w:line="360" w:lineRule="exact"/>
              <w:jc w:val="center"/>
              <w:rPr>
                <w:rFonts w:hint="eastAsia" w:ascii="仿宋" w:hAnsi="仿宋" w:eastAsia="仿宋" w:cs="仿宋"/>
                <w:i/>
                <w:iCs/>
                <w:sz w:val="24"/>
                <w:szCs w:val="24"/>
              </w:rPr>
            </w:pPr>
            <w:r>
              <w:rPr>
                <w:rFonts w:hint="eastAsia" w:ascii="仿宋" w:hAnsi="仿宋" w:eastAsia="仿宋" w:cs="仿宋"/>
                <w:i/>
                <w:iCs/>
                <w:sz w:val="24"/>
                <w:szCs w:val="24"/>
              </w:rPr>
              <w:t>税金</w:t>
            </w:r>
          </w:p>
        </w:tc>
        <w:tc>
          <w:tcPr>
            <w:tcW w:w="6510" w:type="dxa"/>
            <w:gridSpan w:val="5"/>
            <w:noWrap w:val="0"/>
            <w:vAlign w:val="center"/>
          </w:tcPr>
          <w:p w14:paraId="287B6A01">
            <w:pPr>
              <w:pStyle w:val="400"/>
              <w:spacing w:line="360" w:lineRule="exact"/>
              <w:jc w:val="center"/>
              <w:rPr>
                <w:rFonts w:hint="eastAsia" w:ascii="仿宋" w:hAnsi="仿宋" w:eastAsia="仿宋" w:cs="仿宋"/>
                <w:sz w:val="24"/>
                <w:szCs w:val="24"/>
              </w:rPr>
            </w:pPr>
          </w:p>
        </w:tc>
      </w:tr>
      <w:tr w14:paraId="6744B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774" w:type="dxa"/>
            <w:vMerge w:val="continue"/>
            <w:noWrap w:val="0"/>
            <w:vAlign w:val="center"/>
          </w:tcPr>
          <w:p w14:paraId="47618348">
            <w:pPr>
              <w:pStyle w:val="400"/>
              <w:spacing w:line="360" w:lineRule="exact"/>
              <w:jc w:val="center"/>
              <w:rPr>
                <w:rFonts w:hint="eastAsia" w:ascii="仿宋" w:hAnsi="仿宋" w:eastAsia="仿宋" w:cs="仿宋"/>
                <w:i/>
                <w:iCs/>
                <w:sz w:val="24"/>
                <w:szCs w:val="24"/>
              </w:rPr>
            </w:pPr>
          </w:p>
        </w:tc>
        <w:tc>
          <w:tcPr>
            <w:tcW w:w="1545" w:type="dxa"/>
            <w:vMerge w:val="continue"/>
            <w:noWrap w:val="0"/>
            <w:vAlign w:val="center"/>
          </w:tcPr>
          <w:p w14:paraId="5864E58C">
            <w:pPr>
              <w:pStyle w:val="400"/>
              <w:spacing w:line="360" w:lineRule="exact"/>
              <w:jc w:val="center"/>
              <w:rPr>
                <w:rFonts w:hint="eastAsia" w:ascii="仿宋" w:hAnsi="仿宋" w:eastAsia="仿宋" w:cs="仿宋"/>
                <w:i/>
                <w:iCs/>
                <w:sz w:val="24"/>
                <w:szCs w:val="24"/>
              </w:rPr>
            </w:pPr>
          </w:p>
        </w:tc>
        <w:tc>
          <w:tcPr>
            <w:tcW w:w="6510" w:type="dxa"/>
            <w:gridSpan w:val="5"/>
            <w:noWrap w:val="0"/>
            <w:vAlign w:val="center"/>
          </w:tcPr>
          <w:p w14:paraId="038DB595">
            <w:pPr>
              <w:pStyle w:val="400"/>
              <w:spacing w:line="360" w:lineRule="exact"/>
              <w:jc w:val="center"/>
              <w:rPr>
                <w:rFonts w:hint="eastAsia" w:ascii="仿宋" w:hAnsi="仿宋" w:eastAsia="仿宋" w:cs="仿宋"/>
                <w:sz w:val="24"/>
                <w:szCs w:val="24"/>
              </w:rPr>
            </w:pPr>
            <w:r>
              <w:rPr>
                <w:rFonts w:hint="eastAsia" w:ascii="仿宋" w:hAnsi="仿宋" w:eastAsia="仿宋" w:cs="仿宋"/>
                <w:sz w:val="24"/>
                <w:szCs w:val="24"/>
              </w:rPr>
              <w:t>增值税纳税人身份：</w:t>
            </w:r>
            <w:r>
              <w:rPr>
                <w:rFonts w:hint="eastAsia" w:ascii="仿宋" w:hAnsi="仿宋" w:eastAsia="仿宋" w:cs="仿宋"/>
                <w:sz w:val="24"/>
                <w:szCs w:val="24"/>
                <w:u w:val="single"/>
              </w:rPr>
              <w:t xml:space="preserve">       </w:t>
            </w:r>
            <w:r>
              <w:rPr>
                <w:rFonts w:hint="eastAsia" w:ascii="仿宋" w:hAnsi="仿宋" w:eastAsia="仿宋" w:cs="仿宋"/>
                <w:sz w:val="24"/>
                <w:szCs w:val="24"/>
              </w:rPr>
              <w:t>；税率：</w:t>
            </w:r>
            <w:r>
              <w:rPr>
                <w:rFonts w:hint="eastAsia" w:ascii="仿宋" w:hAnsi="仿宋" w:eastAsia="仿宋" w:cs="仿宋"/>
                <w:sz w:val="24"/>
                <w:szCs w:val="24"/>
                <w:u w:val="single"/>
              </w:rPr>
              <w:t xml:space="preserve">        </w:t>
            </w:r>
            <w:r>
              <w:rPr>
                <w:rFonts w:hint="eastAsia" w:ascii="仿宋" w:hAnsi="仿宋" w:eastAsia="仿宋" w:cs="仿宋"/>
                <w:sz w:val="24"/>
                <w:szCs w:val="24"/>
              </w:rPr>
              <w:t>（明确是增值税一般纳税人还是小规模纳税人并提供相关证明）</w:t>
            </w:r>
          </w:p>
        </w:tc>
      </w:tr>
      <w:tr w14:paraId="7CA70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774" w:type="dxa"/>
            <w:noWrap w:val="0"/>
            <w:vAlign w:val="center"/>
          </w:tcPr>
          <w:p w14:paraId="35FD1AC2">
            <w:pPr>
              <w:pStyle w:val="400"/>
              <w:spacing w:line="360" w:lineRule="exact"/>
              <w:jc w:val="center"/>
              <w:rPr>
                <w:rFonts w:hint="eastAsia" w:ascii="仿宋" w:hAnsi="仿宋" w:eastAsia="仿宋" w:cs="仿宋"/>
                <w:i/>
                <w:iCs/>
                <w:sz w:val="24"/>
                <w:szCs w:val="24"/>
              </w:rPr>
            </w:pPr>
          </w:p>
        </w:tc>
        <w:tc>
          <w:tcPr>
            <w:tcW w:w="1545" w:type="dxa"/>
            <w:noWrap w:val="0"/>
            <w:vAlign w:val="center"/>
          </w:tcPr>
          <w:p w14:paraId="27725B8D">
            <w:pPr>
              <w:pStyle w:val="400"/>
              <w:spacing w:line="360" w:lineRule="exact"/>
              <w:jc w:val="center"/>
              <w:rPr>
                <w:rFonts w:hint="eastAsia" w:ascii="仿宋" w:hAnsi="仿宋" w:eastAsia="仿宋" w:cs="仿宋"/>
                <w:i/>
                <w:iCs/>
                <w:sz w:val="24"/>
                <w:szCs w:val="24"/>
              </w:rPr>
            </w:pPr>
            <w:r>
              <w:rPr>
                <w:rFonts w:hint="eastAsia" w:ascii="仿宋" w:hAnsi="仿宋" w:eastAsia="仿宋" w:cs="仿宋"/>
                <w:i/>
                <w:iCs/>
                <w:sz w:val="24"/>
                <w:szCs w:val="24"/>
              </w:rPr>
              <w:t>…</w:t>
            </w:r>
          </w:p>
        </w:tc>
        <w:tc>
          <w:tcPr>
            <w:tcW w:w="6510" w:type="dxa"/>
            <w:gridSpan w:val="5"/>
            <w:noWrap w:val="0"/>
            <w:vAlign w:val="center"/>
          </w:tcPr>
          <w:p w14:paraId="35A88B07">
            <w:pPr>
              <w:pStyle w:val="400"/>
              <w:spacing w:line="360" w:lineRule="exact"/>
              <w:jc w:val="center"/>
              <w:rPr>
                <w:rFonts w:hint="eastAsia" w:ascii="仿宋" w:hAnsi="仿宋" w:eastAsia="仿宋" w:cs="仿宋"/>
                <w:sz w:val="24"/>
                <w:szCs w:val="24"/>
              </w:rPr>
            </w:pPr>
          </w:p>
        </w:tc>
      </w:tr>
      <w:tr w14:paraId="2621E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30" w:hRule="atLeast"/>
          <w:jc w:val="center"/>
        </w:trPr>
        <w:tc>
          <w:tcPr>
            <w:tcW w:w="2319" w:type="dxa"/>
            <w:gridSpan w:val="2"/>
            <w:shd w:val="clear" w:color="auto" w:fill="auto"/>
            <w:noWrap w:val="0"/>
            <w:vAlign w:val="center"/>
          </w:tcPr>
          <w:p w14:paraId="2414BE6C">
            <w:pPr>
              <w:pStyle w:val="400"/>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投标总报价</w:t>
            </w:r>
            <w:r>
              <w:rPr>
                <w:rFonts w:hint="eastAsia" w:ascii="仿宋" w:hAnsi="仿宋" w:eastAsia="仿宋" w:cs="仿宋"/>
                <w:b/>
                <w:bCs/>
                <w:iCs/>
                <w:sz w:val="24"/>
                <w:szCs w:val="28"/>
                <w:lang w:val="en-US" w:eastAsia="zh-CN"/>
              </w:rPr>
              <w:t>/年</w:t>
            </w:r>
          </w:p>
        </w:tc>
        <w:tc>
          <w:tcPr>
            <w:tcW w:w="6510" w:type="dxa"/>
            <w:gridSpan w:val="5"/>
            <w:shd w:val="clear" w:color="auto" w:fill="auto"/>
            <w:noWrap w:val="0"/>
            <w:vAlign w:val="center"/>
          </w:tcPr>
          <w:p w14:paraId="4931926C">
            <w:pPr>
              <w:pStyle w:val="400"/>
              <w:spacing w:line="360" w:lineRule="exact"/>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sz w:val="24"/>
                <w:szCs w:val="24"/>
                <w:u w:val="single"/>
              </w:rPr>
              <w:t xml:space="preserve">                        </w:t>
            </w:r>
          </w:p>
          <w:p w14:paraId="191FA5FF">
            <w:pPr>
              <w:pStyle w:val="400"/>
              <w:spacing w:line="360" w:lineRule="exact"/>
              <w:jc w:val="center"/>
              <w:rPr>
                <w:rFonts w:hint="eastAsia" w:ascii="仿宋" w:hAnsi="仿宋" w:eastAsia="仿宋" w:cs="仿宋"/>
                <w:sz w:val="24"/>
                <w:szCs w:val="24"/>
              </w:rPr>
            </w:pPr>
            <w:r>
              <w:rPr>
                <w:rFonts w:hint="eastAsia" w:ascii="仿宋" w:hAnsi="仿宋" w:eastAsia="仿宋" w:cs="仿宋"/>
                <w:b/>
                <w:bCs/>
                <w:sz w:val="24"/>
                <w:szCs w:val="24"/>
              </w:rPr>
              <w:t>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分</w:t>
            </w:r>
          </w:p>
        </w:tc>
      </w:tr>
    </w:tbl>
    <w:p w14:paraId="6D1F561E">
      <w:pPr>
        <w:pStyle w:val="352"/>
        <w:rPr>
          <w:rFonts w:hint="eastAsia" w:ascii="仿宋" w:hAnsi="仿宋" w:eastAsia="仿宋" w:cs="仿宋"/>
          <w:color w:val="000000"/>
          <w:sz w:val="24"/>
        </w:rPr>
      </w:pPr>
    </w:p>
    <w:p w14:paraId="59BAEE8A">
      <w:pPr>
        <w:pStyle w:val="402"/>
        <w:spacing w:line="360" w:lineRule="auto"/>
        <w:rPr>
          <w:rFonts w:hint="eastAsia" w:ascii="仿宋" w:hAnsi="仿宋" w:eastAsia="仿宋" w:cs="仿宋"/>
          <w:b/>
          <w:bCs/>
          <w:iCs/>
          <w:szCs w:val="28"/>
          <w:lang w:val="zh-CN"/>
        </w:rPr>
      </w:pPr>
      <w:r>
        <w:rPr>
          <w:rFonts w:hint="eastAsia" w:ascii="仿宋" w:hAnsi="仿宋" w:eastAsia="仿宋" w:cs="仿宋"/>
          <w:color w:val="000000"/>
        </w:rPr>
        <w:t>备注：</w:t>
      </w:r>
      <w:r>
        <w:rPr>
          <w:rFonts w:hint="eastAsia" w:ascii="仿宋" w:hAnsi="仿宋" w:eastAsia="仿宋" w:cs="仿宋"/>
          <w:b/>
          <w:bCs/>
          <w:iCs/>
          <w:szCs w:val="28"/>
          <w:lang w:val="zh-CN"/>
        </w:rPr>
        <w:t>1、明细报价表中列明的项目不接受赠送。</w:t>
      </w:r>
    </w:p>
    <w:p w14:paraId="5C8422AB">
      <w:pPr>
        <w:pStyle w:val="402"/>
        <w:spacing w:line="360" w:lineRule="auto"/>
        <w:ind w:firstLine="723"/>
        <w:rPr>
          <w:rFonts w:hint="eastAsia" w:ascii="仿宋" w:hAnsi="仿宋" w:eastAsia="仿宋" w:cs="仿宋"/>
          <w:b/>
          <w:bCs/>
          <w:iCs/>
          <w:szCs w:val="28"/>
          <w:lang w:val="zh-CN"/>
        </w:rPr>
      </w:pPr>
      <w:r>
        <w:rPr>
          <w:rFonts w:hint="eastAsia" w:ascii="仿宋" w:hAnsi="仿宋" w:eastAsia="仿宋" w:cs="仿宋"/>
          <w:b/>
          <w:bCs/>
          <w:iCs/>
          <w:szCs w:val="28"/>
          <w:lang w:val="zh-CN"/>
        </w:rPr>
        <w:t>2、人员工资合价=人员月工资*人员数量*月数</w:t>
      </w:r>
    </w:p>
    <w:p w14:paraId="6BD2F0FA">
      <w:pPr>
        <w:pStyle w:val="402"/>
        <w:spacing w:line="360" w:lineRule="auto"/>
        <w:ind w:firstLine="723"/>
        <w:rPr>
          <w:rFonts w:hint="eastAsia" w:ascii="仿宋" w:hAnsi="仿宋" w:eastAsia="仿宋" w:cs="仿宋"/>
          <w:b/>
          <w:bCs/>
          <w:iCs/>
          <w:szCs w:val="28"/>
          <w:lang w:val="zh-CN"/>
        </w:rPr>
      </w:pPr>
      <w:r>
        <w:rPr>
          <w:rFonts w:hint="eastAsia" w:ascii="仿宋" w:hAnsi="仿宋" w:eastAsia="仿宋" w:cs="仿宋"/>
          <w:b/>
          <w:bCs/>
          <w:iCs/>
          <w:szCs w:val="28"/>
        </w:rPr>
        <w:t>3、</w:t>
      </w:r>
      <w:r>
        <w:rPr>
          <w:rFonts w:hint="eastAsia" w:ascii="仿宋" w:hAnsi="仿宋" w:eastAsia="仿宋" w:cs="仿宋"/>
          <w:b/>
          <w:bCs/>
          <w:iCs/>
          <w:szCs w:val="28"/>
          <w:lang w:val="zh-CN"/>
        </w:rPr>
        <w:t>“投标总报价”数额应当与“开标一览表”中“投标总报价”数额一致。</w:t>
      </w:r>
    </w:p>
    <w:p w14:paraId="56D511B3">
      <w:pPr>
        <w:pStyle w:val="402"/>
        <w:spacing w:line="360" w:lineRule="auto"/>
        <w:ind w:firstLine="723"/>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4、投标报价按每年总价进行报价。</w:t>
      </w:r>
    </w:p>
    <w:p w14:paraId="74A6B961">
      <w:pPr>
        <w:pStyle w:val="431"/>
        <w:keepNext w:val="0"/>
        <w:keepLines w:val="0"/>
        <w:pageBreakBefore w:val="0"/>
        <w:widowControl/>
        <w:kinsoku/>
        <w:wordWrap/>
        <w:overflowPunct/>
        <w:topLinePunct w:val="0"/>
        <w:autoSpaceDE/>
        <w:autoSpaceDN/>
        <w:bidi w:val="0"/>
        <w:adjustRightInd/>
        <w:snapToGrid/>
        <w:spacing w:line="500" w:lineRule="exact"/>
        <w:ind w:firstLine="723" w:firstLineChars="300"/>
        <w:jc w:val="left"/>
        <w:textAlignment w:val="auto"/>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5、</w:t>
      </w:r>
      <w:r>
        <w:rPr>
          <w:rFonts w:hint="eastAsia" w:ascii="仿宋" w:hAnsi="仿宋" w:eastAsia="仿宋" w:cs="仿宋"/>
          <w:b/>
          <w:iCs/>
          <w:color w:val="FF0000"/>
          <w:szCs w:val="24"/>
          <w:lang w:bidi="zh-CN"/>
        </w:rPr>
        <w:t>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（2）某岗位人员月工资10000元，社保金额则为10000*24.9%+5=2495元。</w:t>
      </w:r>
    </w:p>
    <w:p w14:paraId="3A3541D6">
      <w:pPr>
        <w:pStyle w:val="402"/>
        <w:keepNext w:val="0"/>
        <w:keepLines w:val="0"/>
        <w:pageBreakBefore w:val="0"/>
        <w:widowControl/>
        <w:kinsoku/>
        <w:wordWrap/>
        <w:overflowPunct/>
        <w:topLinePunct w:val="0"/>
        <w:autoSpaceDE/>
        <w:autoSpaceDN/>
        <w:bidi w:val="0"/>
        <w:adjustRightInd/>
        <w:snapToGrid/>
        <w:spacing w:line="360" w:lineRule="auto"/>
        <w:ind w:firstLine="723" w:firstLineChars="300"/>
        <w:textAlignment w:val="auto"/>
        <w:rPr>
          <w:rFonts w:hint="eastAsia" w:ascii="仿宋" w:hAnsi="仿宋" w:eastAsia="仿宋" w:cs="仿宋"/>
          <w:b/>
          <w:bCs/>
          <w:iCs/>
          <w:szCs w:val="28"/>
          <w:lang w:val="zh-CN"/>
        </w:rPr>
      </w:pPr>
      <w:r>
        <w:rPr>
          <w:rFonts w:hint="eastAsia" w:ascii="仿宋" w:hAnsi="仿宋" w:eastAsia="仿宋" w:cs="仿宋"/>
          <w:b/>
          <w:bCs/>
          <w:iCs/>
          <w:szCs w:val="28"/>
          <w:lang w:val="en-US" w:eastAsia="zh-CN"/>
        </w:rPr>
        <w:t>6、</w:t>
      </w:r>
      <w:r>
        <w:rPr>
          <w:rFonts w:hint="eastAsia" w:ascii="仿宋" w:hAnsi="仿宋" w:eastAsia="仿宋" w:cs="仿宋"/>
          <w:b/>
          <w:bCs/>
          <w:iCs/>
          <w:szCs w:val="28"/>
          <w:lang w:val="zh-CN"/>
        </w:rPr>
        <w:t>表格格式可根据报价需要，进行调整</w:t>
      </w:r>
    </w:p>
    <w:p w14:paraId="14718732">
      <w:pPr>
        <w:pStyle w:val="402"/>
        <w:spacing w:line="360" w:lineRule="auto"/>
        <w:rPr>
          <w:rFonts w:hint="eastAsia" w:ascii="仿宋" w:hAnsi="仿宋" w:eastAsia="仿宋" w:cs="仿宋"/>
          <w:color w:val="000000"/>
        </w:rPr>
      </w:pPr>
      <w:r>
        <w:rPr>
          <w:rFonts w:hint="eastAsia" w:ascii="仿宋" w:hAnsi="仿宋" w:eastAsia="仿宋" w:cs="仿宋"/>
          <w:b/>
          <w:bCs/>
          <w:iCs/>
          <w:szCs w:val="28"/>
          <w:lang w:val="zh-CN"/>
        </w:rPr>
        <w:br w:type="page" w:clear="all"/>
      </w:r>
    </w:p>
    <w:p w14:paraId="2CF39E89">
      <w:pPr>
        <w:pStyle w:val="377"/>
        <w:outlineLvl w:val="1"/>
        <w:rPr>
          <w:rFonts w:hint="eastAsia" w:ascii="仿宋" w:hAnsi="仿宋" w:eastAsia="仿宋" w:cs="仿宋"/>
          <w:b/>
          <w:bCs w:val="0"/>
          <w:color w:val="000000"/>
        </w:rPr>
      </w:pPr>
      <w:bookmarkStart w:id="154" w:name="_Toc21129"/>
      <w:bookmarkStart w:id="155" w:name="_Toc2747"/>
      <w:r>
        <w:rPr>
          <w:rFonts w:hint="eastAsia" w:ascii="仿宋" w:hAnsi="仿宋" w:eastAsia="仿宋" w:cs="仿宋"/>
          <w:b/>
          <w:bCs w:val="0"/>
          <w:color w:val="000000"/>
        </w:rPr>
        <w:t>五、中小企业或残疾人福利性单位声明函</w:t>
      </w:r>
      <w:bookmarkEnd w:id="153"/>
      <w:bookmarkEnd w:id="154"/>
      <w:bookmarkEnd w:id="155"/>
    </w:p>
    <w:p w14:paraId="10121547">
      <w:pPr>
        <w:pStyle w:val="34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中小微企业声明函（服务）</w:t>
      </w:r>
    </w:p>
    <w:p w14:paraId="5FA2746B">
      <w:pPr>
        <w:spacing w:line="500" w:lineRule="exact"/>
        <w:ind w:firstLine="480"/>
        <w:rPr>
          <w:rFonts w:hint="eastAsia" w:ascii="仿宋" w:hAnsi="仿宋" w:eastAsia="仿宋" w:cs="仿宋"/>
          <w:color w:val="000000"/>
          <w:sz w:val="24"/>
          <w:szCs w:val="24"/>
        </w:rPr>
      </w:pPr>
    </w:p>
    <w:p w14:paraId="0C60062A">
      <w:pPr>
        <w:spacing w:line="5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rPr>
        <w:t>泗洪县机关事务管理中心</w:t>
      </w:r>
      <w:r>
        <w:rPr>
          <w:rFonts w:hint="eastAsia" w:ascii="仿宋" w:hAnsi="仿宋" w:eastAsia="仿宋" w:cs="仿宋"/>
          <w:color w:val="000000"/>
          <w:sz w:val="24"/>
          <w:szCs w:val="24"/>
        </w:rPr>
        <w:t>的</w:t>
      </w:r>
      <w:r>
        <w:rPr>
          <w:rFonts w:hint="eastAsia" w:ascii="仿宋" w:hAnsi="仿宋" w:eastAsia="仿宋" w:cs="仿宋"/>
          <w:color w:val="000000"/>
          <w:sz w:val="24"/>
          <w:szCs w:val="24"/>
          <w:lang w:val="en-US" w:eastAsia="zh-CN"/>
        </w:rPr>
        <w:t>项目</w:t>
      </w:r>
      <w:r>
        <w:rPr>
          <w:rFonts w:hint="eastAsia" w:ascii="仿宋" w:hAnsi="仿宋" w:eastAsia="仿宋" w:cs="仿宋"/>
          <w:color w:val="000000"/>
          <w:sz w:val="24"/>
          <w:szCs w:val="24"/>
          <w:u w:val="single"/>
          <w:lang w:val="en-US" w:eastAsia="zh-CN"/>
        </w:rPr>
        <w:t xml:space="preserve">泗洪县政务服务中心保洁服务采购项目 </w:t>
      </w:r>
      <w:r>
        <w:rPr>
          <w:rFonts w:hint="eastAsia" w:ascii="仿宋" w:hAnsi="仿宋" w:eastAsia="仿宋" w:cs="仿宋"/>
          <w:color w:val="000000"/>
          <w:sz w:val="24"/>
          <w:szCs w:val="24"/>
        </w:rPr>
        <w:t>采购活动，服务全部由符合政策的中小微企业承接。相关企业（含联合体中的中小微企业、签订采购包意向协议的中小微企业）的具体情况如下：</w:t>
      </w:r>
    </w:p>
    <w:p w14:paraId="019FEBFA">
      <w:pPr>
        <w:spacing w:line="500" w:lineRule="exact"/>
        <w:ind w:firstLine="480"/>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（标的名称）</w:t>
      </w:r>
      <w:r>
        <w:rPr>
          <w:rFonts w:hint="eastAsia" w:ascii="仿宋" w:hAnsi="仿宋" w:eastAsia="仿宋" w:cs="仿宋"/>
          <w:i/>
          <w:color w:val="000000"/>
          <w:sz w:val="24"/>
          <w:szCs w:val="24"/>
        </w:rPr>
        <w:t>，</w:t>
      </w:r>
      <w:r>
        <w:rPr>
          <w:rFonts w:hint="eastAsia" w:ascii="仿宋" w:hAnsi="仿宋" w:eastAsia="仿宋" w:cs="仿宋"/>
          <w:color w:val="000000"/>
          <w:sz w:val="24"/>
          <w:szCs w:val="24"/>
        </w:rPr>
        <w:t>属于</w:t>
      </w:r>
      <w:r>
        <w:rPr>
          <w:rFonts w:hint="eastAsia" w:ascii="仿宋" w:hAnsi="仿宋" w:eastAsia="仿宋" w:cs="仿宋"/>
          <w:b/>
          <w:bCs/>
          <w:color w:val="0000FF"/>
          <w:sz w:val="24"/>
          <w:szCs w:val="24"/>
          <w:u w:val="single"/>
        </w:rPr>
        <w:t>（</w:t>
      </w:r>
      <w:r>
        <w:rPr>
          <w:rFonts w:hint="eastAsia" w:ascii="仿宋" w:hAnsi="仿宋" w:eastAsia="仿宋" w:cs="仿宋"/>
          <w:b/>
          <w:bCs/>
          <w:color w:val="0000FF"/>
          <w:sz w:val="24"/>
          <w:szCs w:val="24"/>
          <w:u w:val="single"/>
          <w:lang w:eastAsia="zh-CN"/>
        </w:rPr>
        <w:t>物业管理</w:t>
      </w:r>
      <w:r>
        <w:rPr>
          <w:rFonts w:hint="eastAsia" w:ascii="仿宋" w:hAnsi="仿宋" w:eastAsia="仿宋" w:cs="仿宋"/>
          <w:b/>
          <w:bCs/>
          <w:color w:val="0000FF"/>
          <w:sz w:val="24"/>
          <w:szCs w:val="24"/>
          <w:u w:val="single"/>
        </w:rPr>
        <w:t>）</w:t>
      </w:r>
      <w:r>
        <w:rPr>
          <w:rFonts w:hint="eastAsia" w:ascii="仿宋" w:hAnsi="仿宋" w:eastAsia="仿宋" w:cs="仿宋"/>
          <w:color w:val="000000"/>
          <w:sz w:val="24"/>
          <w:szCs w:val="24"/>
        </w:rPr>
        <w:t>行业；承接企业为</w:t>
      </w:r>
      <w:r>
        <w:rPr>
          <w:rFonts w:hint="eastAsia" w:ascii="仿宋" w:hAnsi="仿宋" w:eastAsia="仿宋" w:cs="仿宋"/>
          <w:color w:val="000000"/>
          <w:sz w:val="24"/>
          <w:szCs w:val="24"/>
          <w:u w:val="single"/>
        </w:rPr>
        <w:t>（企业名称）</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（□中型企业 □小型企业 □微型企业）；</w:t>
      </w:r>
    </w:p>
    <w:p w14:paraId="2C69A295">
      <w:pPr>
        <w:spacing w:line="5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以上企业，不属于大企业的分支机构，不存在控股股东为大企业的情形，也不存在与大企业的负责人为同一人的情形。</w:t>
      </w:r>
    </w:p>
    <w:p w14:paraId="74002B7D">
      <w:pPr>
        <w:spacing w:line="5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本企业对上述声明内容的真实性负责。如有虚假，将依法承担相应责任</w:t>
      </w:r>
    </w:p>
    <w:p w14:paraId="2BB006A3">
      <w:pPr>
        <w:spacing w:line="500" w:lineRule="exact"/>
        <w:ind w:firstLine="480"/>
        <w:rPr>
          <w:rFonts w:hint="eastAsia" w:ascii="仿宋" w:hAnsi="仿宋" w:eastAsia="仿宋" w:cs="仿宋"/>
          <w:color w:val="000000"/>
          <w:sz w:val="24"/>
          <w:szCs w:val="24"/>
        </w:rPr>
      </w:pPr>
    </w:p>
    <w:p w14:paraId="58609E53">
      <w:pPr>
        <w:spacing w:line="500" w:lineRule="exact"/>
        <w:ind w:firstLine="480"/>
        <w:jc w:val="right"/>
        <w:rPr>
          <w:rFonts w:hint="eastAsia" w:ascii="仿宋" w:hAnsi="仿宋" w:eastAsia="仿宋" w:cs="仿宋"/>
          <w:color w:val="000000"/>
          <w:sz w:val="24"/>
          <w:szCs w:val="24"/>
        </w:rPr>
      </w:pPr>
      <w:r>
        <w:rPr>
          <w:rFonts w:hint="eastAsia" w:ascii="仿宋" w:hAnsi="仿宋" w:eastAsia="仿宋" w:cs="仿宋"/>
          <w:color w:val="000000"/>
          <w:sz w:val="24"/>
          <w:szCs w:val="24"/>
        </w:rPr>
        <w:t>企业名称（加盖CA电子公章）：</w:t>
      </w:r>
    </w:p>
    <w:p w14:paraId="716278EC">
      <w:pPr>
        <w:spacing w:line="500" w:lineRule="exact"/>
        <w:ind w:firstLine="6960"/>
        <w:rPr>
          <w:rFonts w:hint="eastAsia" w:ascii="仿宋" w:hAnsi="仿宋" w:eastAsia="仿宋" w:cs="仿宋"/>
          <w:color w:val="000000"/>
          <w:sz w:val="24"/>
          <w:szCs w:val="24"/>
        </w:rPr>
      </w:pPr>
      <w:r>
        <w:rPr>
          <w:rFonts w:hint="eastAsia" w:ascii="仿宋" w:hAnsi="仿宋" w:eastAsia="仿宋" w:cs="仿宋"/>
          <w:color w:val="000000"/>
          <w:sz w:val="24"/>
          <w:szCs w:val="24"/>
        </w:rPr>
        <w:t>日  期：</w:t>
      </w:r>
    </w:p>
    <w:p w14:paraId="21C1D097">
      <w:pPr>
        <w:spacing w:line="400" w:lineRule="exact"/>
        <w:ind w:firstLine="240"/>
        <w:rPr>
          <w:rFonts w:hint="eastAsia" w:ascii="仿宋" w:hAnsi="仿宋" w:eastAsia="仿宋" w:cs="仿宋"/>
          <w:color w:val="000000"/>
          <w:sz w:val="24"/>
          <w:szCs w:val="24"/>
        </w:rPr>
      </w:pPr>
    </w:p>
    <w:p w14:paraId="12490929">
      <w:pPr>
        <w:spacing w:line="4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备注：1.从业人员、营业收入、资产总额填报上一年度数据，无上一年度数据的新成立企业可不填报。</w:t>
      </w:r>
    </w:p>
    <w:p w14:paraId="7AACE5CC">
      <w:pPr>
        <w:numPr>
          <w:ilvl w:val="0"/>
          <w:numId w:val="0"/>
        </w:numPr>
        <w:spacing w:line="4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对照《工业和信息化部、国家统计局、国家发展和改革委员会、财政部关于印发中小企业划型标准规定的通知》(工信部联企业[2011]300号)的规定，投标人自行勾选承接企业的企业规模类型。</w:t>
      </w:r>
    </w:p>
    <w:p w14:paraId="7C0ADD64">
      <w:pPr>
        <w:pStyle w:val="343"/>
        <w:jc w:val="center"/>
        <w:rPr>
          <w:rFonts w:hint="eastAsia" w:ascii="仿宋" w:hAnsi="仿宋" w:eastAsia="仿宋" w:cs="仿宋"/>
          <w:color w:val="000000"/>
          <w:sz w:val="32"/>
          <w:szCs w:val="32"/>
        </w:rPr>
      </w:pPr>
    </w:p>
    <w:p w14:paraId="39434275">
      <w:pPr>
        <w:pStyle w:val="343"/>
        <w:jc w:val="center"/>
        <w:rPr>
          <w:rFonts w:hint="eastAsia" w:ascii="仿宋" w:hAnsi="仿宋" w:eastAsia="仿宋" w:cs="仿宋"/>
          <w:color w:val="000000"/>
          <w:sz w:val="32"/>
          <w:szCs w:val="32"/>
        </w:rPr>
      </w:pPr>
    </w:p>
    <w:p w14:paraId="21F1571B">
      <w:pPr>
        <w:pStyle w:val="343"/>
        <w:jc w:val="center"/>
        <w:rPr>
          <w:rFonts w:hint="eastAsia" w:ascii="仿宋" w:hAnsi="仿宋" w:eastAsia="仿宋" w:cs="仿宋"/>
          <w:bCs/>
          <w:color w:val="000000"/>
          <w:sz w:val="32"/>
          <w:szCs w:val="32"/>
        </w:rPr>
      </w:pPr>
    </w:p>
    <w:p w14:paraId="4491065D">
      <w:pPr>
        <w:pStyle w:val="343"/>
        <w:jc w:val="center"/>
        <w:rPr>
          <w:rFonts w:hint="eastAsia" w:ascii="仿宋" w:hAnsi="仿宋" w:eastAsia="仿宋" w:cs="仿宋"/>
          <w:bCs/>
          <w:color w:val="000000"/>
          <w:sz w:val="32"/>
          <w:szCs w:val="32"/>
        </w:rPr>
      </w:pPr>
    </w:p>
    <w:p w14:paraId="02CEBE1A">
      <w:pPr>
        <w:pStyle w:val="343"/>
        <w:jc w:val="center"/>
        <w:rPr>
          <w:rFonts w:hint="eastAsia" w:ascii="仿宋" w:hAnsi="仿宋" w:eastAsia="仿宋" w:cs="仿宋"/>
          <w:bCs/>
          <w:color w:val="000000"/>
          <w:sz w:val="32"/>
          <w:szCs w:val="32"/>
        </w:rPr>
      </w:pPr>
    </w:p>
    <w:p w14:paraId="76D4727C">
      <w:pPr>
        <w:pStyle w:val="343"/>
        <w:jc w:val="center"/>
        <w:rPr>
          <w:rFonts w:hint="eastAsia" w:ascii="仿宋" w:hAnsi="仿宋" w:eastAsia="仿宋" w:cs="仿宋"/>
          <w:bCs/>
          <w:color w:val="000000"/>
          <w:sz w:val="32"/>
          <w:szCs w:val="32"/>
        </w:rPr>
      </w:pPr>
    </w:p>
    <w:p w14:paraId="3010053E">
      <w:pPr>
        <w:pStyle w:val="343"/>
        <w:jc w:val="center"/>
        <w:rPr>
          <w:rFonts w:hint="eastAsia" w:ascii="仿宋" w:hAnsi="仿宋" w:eastAsia="仿宋" w:cs="仿宋"/>
          <w:bCs/>
          <w:color w:val="000000"/>
          <w:sz w:val="32"/>
          <w:szCs w:val="32"/>
        </w:rPr>
      </w:pPr>
    </w:p>
    <w:p w14:paraId="01447705">
      <w:pPr>
        <w:pStyle w:val="343"/>
        <w:jc w:val="center"/>
        <w:rPr>
          <w:rFonts w:hint="eastAsia" w:ascii="仿宋" w:hAnsi="仿宋" w:eastAsia="仿宋" w:cs="仿宋"/>
          <w:bCs/>
          <w:color w:val="000000"/>
          <w:sz w:val="32"/>
          <w:szCs w:val="32"/>
        </w:rPr>
      </w:pPr>
    </w:p>
    <w:p w14:paraId="561EC3B5">
      <w:pPr>
        <w:pStyle w:val="343"/>
        <w:jc w:val="center"/>
        <w:rPr>
          <w:rFonts w:hint="eastAsia" w:ascii="仿宋" w:hAnsi="仿宋" w:eastAsia="仿宋" w:cs="仿宋"/>
          <w:bCs/>
          <w:color w:val="000000"/>
          <w:sz w:val="32"/>
          <w:szCs w:val="32"/>
        </w:rPr>
      </w:pPr>
    </w:p>
    <w:p w14:paraId="51EF323A">
      <w:pPr>
        <w:pStyle w:val="34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残疾人福利性单位声明函</w:t>
      </w:r>
    </w:p>
    <w:p w14:paraId="2A0E7F16">
      <w:pPr>
        <w:pStyle w:val="361"/>
        <w:spacing w:line="588" w:lineRule="exact"/>
        <w:rPr>
          <w:rFonts w:hint="eastAsia" w:ascii="仿宋" w:hAnsi="仿宋" w:eastAsia="仿宋" w:cs="仿宋"/>
          <w:b/>
          <w:color w:val="000000"/>
          <w:spacing w:val="6"/>
          <w:sz w:val="30"/>
          <w:szCs w:val="30"/>
        </w:rPr>
      </w:pPr>
    </w:p>
    <w:p w14:paraId="44DF4157">
      <w:pPr>
        <w:pStyle w:val="360"/>
        <w:spacing w:line="500" w:lineRule="exact"/>
        <w:ind w:firstLine="480"/>
        <w:rPr>
          <w:rFonts w:hint="eastAsia" w:ascii="仿宋" w:hAnsi="仿宋" w:eastAsia="仿宋" w:cs="仿宋"/>
          <w:color w:val="000000"/>
          <w:sz w:val="24"/>
        </w:rPr>
      </w:pPr>
      <w:r>
        <w:rPr>
          <w:rFonts w:hint="eastAsia" w:ascii="仿宋" w:hAnsi="仿宋" w:eastAsia="仿宋" w:cs="仿宋"/>
          <w:color w:val="000000"/>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rPr>
        <w:t>泗洪县机关事务管理中心</w:t>
      </w:r>
      <w:r>
        <w:rPr>
          <w:rFonts w:hint="eastAsia" w:ascii="仿宋" w:hAnsi="仿宋" w:eastAsia="仿宋" w:cs="仿宋"/>
          <w:color w:val="000000"/>
          <w:sz w:val="24"/>
        </w:rPr>
        <w:t>的</w:t>
      </w:r>
      <w:r>
        <w:rPr>
          <w:rFonts w:hint="eastAsia" w:ascii="仿宋" w:hAnsi="仿宋" w:eastAsia="仿宋" w:cs="仿宋"/>
          <w:color w:val="000000"/>
          <w:sz w:val="24"/>
          <w:szCs w:val="24"/>
          <w:u w:val="single"/>
          <w:lang w:val="en-US" w:eastAsia="zh-CN"/>
        </w:rPr>
        <w:t>泗洪县政务服务中心保洁服务采购项目</w:t>
      </w:r>
      <w:r>
        <w:rPr>
          <w:rFonts w:hint="eastAsia" w:ascii="仿宋" w:hAnsi="仿宋" w:eastAsia="仿宋" w:cs="仿宋"/>
          <w:color w:val="000000"/>
          <w:sz w:val="24"/>
        </w:rPr>
        <w:t>采购活动提供本单位制造的货物（由本单位承担工程/提供服务），或者提供其他残疾人福利性单位制造的货物（不包括使用非残疾人福利性单位注册商标的货物）。</w:t>
      </w:r>
    </w:p>
    <w:p w14:paraId="2A8E5C33">
      <w:pPr>
        <w:pStyle w:val="360"/>
        <w:spacing w:line="500" w:lineRule="exact"/>
        <w:ind w:firstLine="480"/>
        <w:rPr>
          <w:rFonts w:hint="eastAsia" w:ascii="仿宋" w:hAnsi="仿宋" w:eastAsia="仿宋" w:cs="仿宋"/>
          <w:color w:val="000000"/>
          <w:sz w:val="24"/>
        </w:rPr>
      </w:pPr>
      <w:r>
        <w:rPr>
          <w:rFonts w:hint="eastAsia" w:ascii="仿宋" w:hAnsi="仿宋" w:eastAsia="仿宋" w:cs="仿宋"/>
          <w:color w:val="000000"/>
          <w:sz w:val="24"/>
        </w:rPr>
        <w:t>本单位对上述声明的真实性负责。如有虚假，将依法承担相应责任。</w:t>
      </w:r>
    </w:p>
    <w:p w14:paraId="6EC5D6A4">
      <w:pPr>
        <w:pStyle w:val="362"/>
        <w:spacing w:line="500" w:lineRule="exact"/>
        <w:ind w:firstLine="3810"/>
        <w:rPr>
          <w:rFonts w:hint="eastAsia" w:ascii="仿宋" w:hAnsi="仿宋" w:eastAsia="仿宋" w:cs="仿宋"/>
          <w:color w:val="000000"/>
          <w:spacing w:val="6"/>
          <w:sz w:val="24"/>
          <w:szCs w:val="24"/>
        </w:rPr>
      </w:pPr>
    </w:p>
    <w:p w14:paraId="468BE5C4">
      <w:pPr>
        <w:pStyle w:val="362"/>
        <w:spacing w:line="500" w:lineRule="exact"/>
        <w:ind w:firstLine="3629"/>
        <w:jc w:val="left"/>
        <w:rPr>
          <w:rFonts w:hint="eastAsia" w:ascii="仿宋" w:hAnsi="仿宋" w:eastAsia="仿宋" w:cs="仿宋"/>
          <w:color w:val="000000"/>
          <w:sz w:val="24"/>
        </w:rPr>
      </w:pPr>
    </w:p>
    <w:p w14:paraId="45543135">
      <w:pPr>
        <w:pStyle w:val="362"/>
        <w:spacing w:line="500" w:lineRule="exact"/>
        <w:ind w:firstLine="480"/>
        <w:jc w:val="left"/>
        <w:rPr>
          <w:rFonts w:hint="eastAsia" w:ascii="仿宋" w:hAnsi="仿宋" w:eastAsia="仿宋" w:cs="仿宋"/>
          <w:color w:val="000000"/>
          <w:sz w:val="24"/>
        </w:rPr>
      </w:pPr>
      <w:r>
        <w:rPr>
          <w:rFonts w:hint="eastAsia" w:ascii="仿宋" w:hAnsi="仿宋" w:eastAsia="仿宋" w:cs="仿宋"/>
          <w:color w:val="000000"/>
          <w:sz w:val="24"/>
        </w:rPr>
        <w:t>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w:t>
      </w:r>
      <w:r>
        <w:rPr>
          <w:rFonts w:hint="eastAsia" w:ascii="仿宋" w:hAnsi="仿宋" w:eastAsia="仿宋" w:cs="仿宋"/>
          <w:color w:val="000000"/>
          <w:sz w:val="24"/>
          <w:szCs w:val="24"/>
        </w:rPr>
        <w:t>盖CA电子公章</w:t>
      </w:r>
      <w:r>
        <w:rPr>
          <w:rFonts w:hint="eastAsia" w:ascii="仿宋" w:hAnsi="仿宋" w:eastAsia="仿宋" w:cs="仿宋"/>
          <w:color w:val="000000"/>
          <w:sz w:val="24"/>
        </w:rPr>
        <w:t>）</w:t>
      </w:r>
    </w:p>
    <w:p w14:paraId="0337D44E">
      <w:pPr>
        <w:pStyle w:val="359"/>
        <w:spacing w:line="500" w:lineRule="exact"/>
        <w:ind w:firstLine="480"/>
        <w:jc w:val="left"/>
        <w:rPr>
          <w:rFonts w:hint="eastAsia" w:ascii="仿宋" w:hAnsi="仿宋" w:eastAsia="仿宋" w:cs="仿宋"/>
          <w:color w:val="000000"/>
          <w:sz w:val="24"/>
          <w:szCs w:val="20"/>
        </w:rPr>
      </w:pPr>
      <w:r>
        <w:rPr>
          <w:rFonts w:hint="eastAsia" w:ascii="仿宋" w:hAnsi="仿宋" w:eastAsia="仿宋" w:cs="仿宋"/>
          <w:color w:val="000000"/>
          <w:sz w:val="24"/>
          <w:szCs w:val="20"/>
        </w:rPr>
        <w:t>日期：  年  月  日</w:t>
      </w:r>
    </w:p>
    <w:p w14:paraId="0837E2A4">
      <w:pPr>
        <w:pStyle w:val="361"/>
        <w:tabs>
          <w:tab w:val="left" w:pos="4860"/>
        </w:tabs>
        <w:spacing w:line="588" w:lineRule="exact"/>
        <w:ind w:right="1560" w:firstLine="480"/>
        <w:jc w:val="center"/>
        <w:rPr>
          <w:rFonts w:hint="eastAsia" w:ascii="仿宋" w:hAnsi="仿宋" w:eastAsia="仿宋" w:cs="仿宋"/>
          <w:color w:val="000000"/>
          <w:sz w:val="24"/>
          <w:szCs w:val="24"/>
        </w:rPr>
      </w:pPr>
    </w:p>
    <w:p w14:paraId="72C0D4AC">
      <w:pPr>
        <w:pStyle w:val="363"/>
        <w:spacing w:line="500" w:lineRule="exact"/>
        <w:ind w:left="357" w:firstLine="0"/>
        <w:rPr>
          <w:rFonts w:hint="eastAsia" w:ascii="仿宋" w:hAnsi="仿宋" w:eastAsia="仿宋" w:cs="仿宋"/>
          <w:color w:val="000000"/>
          <w:sz w:val="24"/>
          <w:szCs w:val="24"/>
        </w:rPr>
      </w:pPr>
    </w:p>
    <w:p w14:paraId="1B9880E4">
      <w:pPr>
        <w:pStyle w:val="360"/>
        <w:spacing w:line="480" w:lineRule="exact"/>
        <w:ind w:firstLine="442"/>
        <w:rPr>
          <w:rFonts w:hint="eastAsia" w:ascii="仿宋" w:hAnsi="仿宋" w:eastAsia="仿宋" w:cs="仿宋"/>
          <w:color w:val="000000"/>
          <w:sz w:val="24"/>
          <w:szCs w:val="24"/>
        </w:rPr>
      </w:pPr>
      <w:r>
        <w:rPr>
          <w:rFonts w:hint="eastAsia" w:ascii="仿宋" w:hAnsi="仿宋" w:eastAsia="仿宋" w:cs="仿宋"/>
          <w:color w:val="000000"/>
          <w:sz w:val="24"/>
          <w:szCs w:val="24"/>
        </w:rPr>
        <w:t>备注：</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非残疾人福利性单位不需提供此函。</w:t>
      </w:r>
    </w:p>
    <w:p w14:paraId="176B3219">
      <w:pPr>
        <w:pStyle w:val="360"/>
        <w:spacing w:line="480" w:lineRule="exact"/>
        <w:ind w:firstLine="442"/>
        <w:rPr>
          <w:rFonts w:hint="eastAsia" w:ascii="仿宋" w:hAnsi="仿宋" w:eastAsia="仿宋" w:cs="仿宋"/>
          <w:color w:val="000000"/>
          <w:sz w:val="24"/>
          <w:szCs w:val="24"/>
        </w:rPr>
      </w:pPr>
      <w:r>
        <w:rPr>
          <w:rFonts w:hint="eastAsia" w:ascii="仿宋" w:hAnsi="仿宋" w:eastAsia="仿宋" w:cs="仿宋"/>
          <w:b w:val="0"/>
          <w:sz w:val="24"/>
          <w:lang w:val="en-US" w:eastAsia="zh-CN"/>
        </w:rPr>
        <w:t>2.</w:t>
      </w:r>
      <w:r>
        <w:rPr>
          <w:rFonts w:hint="eastAsia" w:ascii="仿宋" w:hAnsi="仿宋" w:eastAsia="仿宋" w:cs="仿宋"/>
          <w:b w:val="0"/>
          <w:sz w:val="24"/>
        </w:rPr>
        <w:t>符合报价折扣情形的请将此函填报上传至“企业报价折扣证明”一栏中</w:t>
      </w:r>
      <w:r>
        <w:rPr>
          <w:rFonts w:hint="eastAsia" w:ascii="仿宋" w:hAnsi="仿宋" w:eastAsia="仿宋" w:cs="仿宋"/>
          <w:b w:val="0"/>
          <w:sz w:val="24"/>
          <w:lang w:eastAsia="zh-CN"/>
        </w:rPr>
        <w:t>。</w:t>
      </w:r>
    </w:p>
    <w:p w14:paraId="5E5839A9">
      <w:pPr>
        <w:pStyle w:val="360"/>
        <w:spacing w:line="480" w:lineRule="exact"/>
        <w:ind w:firstLine="442"/>
        <w:rPr>
          <w:rFonts w:hint="eastAsia" w:ascii="仿宋" w:hAnsi="仿宋" w:eastAsia="仿宋" w:cs="仿宋"/>
          <w:color w:val="000000"/>
          <w:sz w:val="24"/>
          <w:szCs w:val="24"/>
        </w:rPr>
      </w:pPr>
    </w:p>
    <w:p w14:paraId="5EFEC0E4">
      <w:pPr>
        <w:pStyle w:val="360"/>
        <w:spacing w:line="480" w:lineRule="exact"/>
        <w:ind w:firstLine="442"/>
        <w:rPr>
          <w:rFonts w:hint="eastAsia" w:ascii="仿宋" w:hAnsi="仿宋" w:eastAsia="仿宋" w:cs="仿宋"/>
          <w:color w:val="000000"/>
          <w:sz w:val="24"/>
          <w:szCs w:val="24"/>
        </w:rPr>
      </w:pPr>
    </w:p>
    <w:p w14:paraId="715D676B">
      <w:pPr>
        <w:pStyle w:val="360"/>
        <w:spacing w:line="480" w:lineRule="exact"/>
        <w:ind w:firstLine="442"/>
        <w:rPr>
          <w:rFonts w:hint="eastAsia" w:ascii="仿宋" w:hAnsi="仿宋" w:eastAsia="仿宋" w:cs="仿宋"/>
          <w:color w:val="000000"/>
          <w:sz w:val="24"/>
          <w:szCs w:val="24"/>
        </w:rPr>
      </w:pPr>
    </w:p>
    <w:p w14:paraId="4594494E">
      <w:pPr>
        <w:pStyle w:val="360"/>
        <w:spacing w:line="480" w:lineRule="exact"/>
        <w:rPr>
          <w:rFonts w:hint="eastAsia" w:ascii="仿宋" w:hAnsi="仿宋" w:eastAsia="仿宋" w:cs="仿宋"/>
          <w:color w:val="000000"/>
          <w:sz w:val="24"/>
          <w:szCs w:val="24"/>
        </w:rPr>
      </w:pPr>
    </w:p>
    <w:p w14:paraId="343AC215">
      <w:pPr>
        <w:pStyle w:val="360"/>
        <w:spacing w:line="480" w:lineRule="exact"/>
        <w:ind w:firstLine="442"/>
        <w:rPr>
          <w:rFonts w:hint="eastAsia" w:ascii="仿宋" w:hAnsi="仿宋" w:eastAsia="仿宋" w:cs="仿宋"/>
          <w:color w:val="000000"/>
          <w:sz w:val="24"/>
          <w:szCs w:val="24"/>
        </w:rPr>
      </w:pPr>
    </w:p>
    <w:p w14:paraId="2DCDE887">
      <w:pPr>
        <w:pStyle w:val="360"/>
        <w:spacing w:line="480" w:lineRule="exact"/>
        <w:ind w:firstLine="442"/>
        <w:rPr>
          <w:rFonts w:hint="eastAsia" w:ascii="仿宋" w:hAnsi="仿宋" w:eastAsia="仿宋" w:cs="仿宋"/>
          <w:color w:val="000000"/>
          <w:sz w:val="24"/>
          <w:szCs w:val="24"/>
        </w:rPr>
      </w:pPr>
    </w:p>
    <w:p w14:paraId="1AF4791D">
      <w:pPr>
        <w:pStyle w:val="360"/>
        <w:spacing w:line="480" w:lineRule="exact"/>
        <w:ind w:firstLine="442"/>
        <w:rPr>
          <w:rFonts w:hint="eastAsia" w:ascii="仿宋" w:hAnsi="仿宋" w:eastAsia="仿宋" w:cs="仿宋"/>
          <w:color w:val="000000"/>
          <w:sz w:val="24"/>
          <w:szCs w:val="24"/>
        </w:rPr>
      </w:pPr>
    </w:p>
    <w:p w14:paraId="599C7D8B">
      <w:pPr>
        <w:pStyle w:val="360"/>
        <w:spacing w:line="480" w:lineRule="exact"/>
        <w:rPr>
          <w:rFonts w:hint="eastAsia" w:ascii="仿宋" w:hAnsi="仿宋" w:eastAsia="仿宋" w:cs="仿宋"/>
          <w:color w:val="000000"/>
          <w:sz w:val="24"/>
          <w:szCs w:val="24"/>
        </w:rPr>
      </w:pPr>
    </w:p>
    <w:p w14:paraId="650E6BC8">
      <w:pPr>
        <w:pStyle w:val="360"/>
        <w:spacing w:line="480" w:lineRule="exact"/>
        <w:rPr>
          <w:rFonts w:hint="eastAsia" w:ascii="仿宋" w:hAnsi="仿宋" w:eastAsia="仿宋" w:cs="仿宋"/>
          <w:color w:val="000000"/>
          <w:sz w:val="24"/>
          <w:szCs w:val="24"/>
        </w:rPr>
      </w:pPr>
    </w:p>
    <w:p w14:paraId="656F1419">
      <w:pPr>
        <w:pStyle w:val="360"/>
        <w:spacing w:line="480" w:lineRule="exact"/>
        <w:rPr>
          <w:rFonts w:hint="eastAsia" w:ascii="仿宋" w:hAnsi="仿宋" w:eastAsia="仿宋" w:cs="仿宋"/>
          <w:color w:val="000000"/>
          <w:sz w:val="24"/>
          <w:szCs w:val="24"/>
        </w:rPr>
      </w:pPr>
    </w:p>
    <w:p w14:paraId="1599F991">
      <w:pPr>
        <w:pBdr>
          <w:top w:val="none" w:color="000000" w:sz="0" w:space="0"/>
          <w:left w:val="none" w:color="000000" w:sz="0" w:space="0"/>
          <w:bottom w:val="none" w:color="000000" w:sz="0" w:space="0"/>
          <w:right w:val="none" w:color="000000" w:sz="0" w:space="0"/>
        </w:pBdr>
        <w:spacing w:line="400" w:lineRule="exact"/>
        <w:rPr>
          <w:rFonts w:hint="eastAsia" w:ascii="仿宋" w:hAnsi="仿宋" w:eastAsia="仿宋" w:cs="仿宋"/>
          <w:color w:val="000000"/>
          <w:sz w:val="24"/>
          <w:szCs w:val="21"/>
        </w:rPr>
      </w:pPr>
    </w:p>
    <w:p w14:paraId="027035DD">
      <w:pPr>
        <w:pStyle w:val="77"/>
        <w:rPr>
          <w:rFonts w:hint="eastAsia" w:ascii="仿宋" w:hAnsi="仿宋" w:eastAsia="仿宋" w:cs="仿宋"/>
          <w:bCs/>
          <w:color w:val="000000"/>
          <w:lang w:val="en-US" w:eastAsia="zh-CN"/>
        </w:rPr>
      </w:pPr>
      <w:r>
        <w:rPr>
          <w:rFonts w:hint="eastAsia" w:ascii="仿宋" w:hAnsi="仿宋" w:eastAsia="仿宋" w:cs="仿宋"/>
          <w:bCs/>
          <w:color w:val="000000"/>
          <w:lang w:val="en-US" w:eastAsia="zh-CN"/>
        </w:rPr>
        <w:t>六</w:t>
      </w:r>
      <w:r>
        <w:rPr>
          <w:rFonts w:hint="eastAsia" w:ascii="仿宋" w:hAnsi="仿宋" w:eastAsia="仿宋" w:cs="仿宋"/>
          <w:bCs/>
          <w:color w:val="000000"/>
        </w:rPr>
        <w:t>、</w:t>
      </w:r>
      <w:r>
        <w:rPr>
          <w:rFonts w:hint="eastAsia" w:ascii="仿宋" w:hAnsi="仿宋" w:eastAsia="仿宋" w:cs="仿宋"/>
          <w:bCs/>
          <w:color w:val="000000"/>
          <w:lang w:val="en-US" w:eastAsia="zh-CN"/>
        </w:rPr>
        <w:t>项目组成员经验</w:t>
      </w:r>
    </w:p>
    <w:tbl>
      <w:tblPr>
        <w:tblStyle w:val="40"/>
        <w:tblpPr w:leftFromText="180" w:rightFromText="180" w:vertAnchor="text" w:horzAnchor="margin" w:tblpXSpec="center" w:tblpY="74"/>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3"/>
        <w:gridCol w:w="2009"/>
        <w:gridCol w:w="2311"/>
        <w:gridCol w:w="1890"/>
        <w:gridCol w:w="1381"/>
        <w:gridCol w:w="875"/>
      </w:tblGrid>
      <w:tr w14:paraId="3B54E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1193" w:type="dxa"/>
            <w:tcBorders>
              <w:top w:val="single" w:color="auto" w:sz="4" w:space="0"/>
              <w:left w:val="single" w:color="auto" w:sz="4" w:space="0"/>
              <w:bottom w:val="single" w:color="auto" w:sz="4" w:space="0"/>
              <w:right w:val="single" w:color="auto" w:sz="4" w:space="0"/>
            </w:tcBorders>
            <w:noWrap w:val="0"/>
            <w:vAlign w:val="center"/>
          </w:tcPr>
          <w:p w14:paraId="079F5C27">
            <w:pPr>
              <w:pStyle w:val="446"/>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姓名</w:t>
            </w:r>
          </w:p>
        </w:tc>
        <w:tc>
          <w:tcPr>
            <w:tcW w:w="2009" w:type="dxa"/>
            <w:tcBorders>
              <w:top w:val="single" w:color="auto" w:sz="4" w:space="0"/>
              <w:left w:val="single" w:color="auto" w:sz="4" w:space="0"/>
              <w:bottom w:val="single" w:color="auto" w:sz="4" w:space="0"/>
              <w:right w:val="single" w:color="auto" w:sz="4" w:space="0"/>
            </w:tcBorders>
            <w:noWrap w:val="0"/>
            <w:vAlign w:val="center"/>
          </w:tcPr>
          <w:p w14:paraId="7B995190">
            <w:pPr>
              <w:pStyle w:val="446"/>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职务</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5134B8F4">
            <w:pPr>
              <w:pStyle w:val="446"/>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物业服务经验</w:t>
            </w:r>
          </w:p>
        </w:tc>
        <w:tc>
          <w:tcPr>
            <w:tcW w:w="1890" w:type="dxa"/>
            <w:tcBorders>
              <w:top w:val="single" w:color="auto" w:sz="4" w:space="0"/>
              <w:left w:val="single" w:color="auto" w:sz="4" w:space="0"/>
              <w:bottom w:val="single" w:color="auto" w:sz="4" w:space="0"/>
              <w:right w:val="single" w:color="auto" w:sz="4" w:space="0"/>
            </w:tcBorders>
            <w:noWrap w:val="0"/>
            <w:vAlign w:val="center"/>
          </w:tcPr>
          <w:p w14:paraId="67014A80">
            <w:pPr>
              <w:pStyle w:val="446"/>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合同签订</w:t>
            </w:r>
          </w:p>
          <w:p w14:paraId="72B50727">
            <w:pPr>
              <w:pStyle w:val="446"/>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时间</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5297AB0F">
            <w:pPr>
              <w:pStyle w:val="446"/>
              <w:keepNext w:val="0"/>
              <w:keepLines w:val="0"/>
              <w:pageBreakBefore w:val="0"/>
              <w:widowControl/>
              <w:spacing w:beforeAutospacing="0" w:line="3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甲方履约评价</w:t>
            </w:r>
            <w:r>
              <w:rPr>
                <w:rFonts w:hint="eastAsia" w:ascii="仿宋" w:hAnsi="仿宋" w:eastAsia="仿宋" w:cs="仿宋"/>
                <w:color w:val="000000"/>
                <w:sz w:val="28"/>
                <w:szCs w:val="28"/>
                <w:lang w:val="en-US" w:eastAsia="zh-CN"/>
              </w:rPr>
              <w:t>结果</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7F628E4F">
            <w:pPr>
              <w:pStyle w:val="446"/>
              <w:keepNext w:val="0"/>
              <w:keepLines w:val="0"/>
              <w:pageBreakBefore w:val="0"/>
              <w:widowControl/>
              <w:spacing w:beforeAutospacing="0" w:line="3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r>
      <w:tr w14:paraId="0B01C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93" w:type="dxa"/>
            <w:vMerge w:val="restart"/>
            <w:tcBorders>
              <w:top w:val="single" w:color="auto" w:sz="4" w:space="0"/>
              <w:left w:val="single" w:color="auto" w:sz="4" w:space="0"/>
              <w:bottom w:val="single" w:color="auto" w:sz="4" w:space="0"/>
              <w:right w:val="single" w:color="auto" w:sz="4" w:space="0"/>
            </w:tcBorders>
            <w:noWrap w:val="0"/>
            <w:vAlign w:val="center"/>
          </w:tcPr>
          <w:p w14:paraId="73431AC3">
            <w:pPr>
              <w:pStyle w:val="446"/>
              <w:widowControl/>
              <w:spacing w:line="560" w:lineRule="exact"/>
              <w:ind w:firstLine="560"/>
              <w:jc w:val="center"/>
              <w:rPr>
                <w:rFonts w:hint="eastAsia" w:ascii="仿宋" w:hAnsi="仿宋" w:eastAsia="仿宋" w:cs="仿宋"/>
                <w:color w:val="000000"/>
                <w:sz w:val="28"/>
                <w:szCs w:val="28"/>
              </w:rPr>
            </w:pPr>
          </w:p>
        </w:tc>
        <w:tc>
          <w:tcPr>
            <w:tcW w:w="2009" w:type="dxa"/>
            <w:vMerge w:val="restart"/>
            <w:tcBorders>
              <w:top w:val="single" w:color="auto" w:sz="4" w:space="0"/>
              <w:left w:val="single" w:color="auto" w:sz="4" w:space="0"/>
              <w:bottom w:val="single" w:color="auto" w:sz="4" w:space="0"/>
              <w:right w:val="single" w:color="auto" w:sz="4" w:space="0"/>
            </w:tcBorders>
            <w:noWrap w:val="0"/>
            <w:vAlign w:val="center"/>
          </w:tcPr>
          <w:p w14:paraId="4520DB23">
            <w:pPr>
              <w:pStyle w:val="446"/>
              <w:widowControl/>
              <w:spacing w:line="560" w:lineRule="exact"/>
              <w:jc w:val="center"/>
              <w:rPr>
                <w:rFonts w:hint="eastAsia" w:ascii="仿宋" w:hAnsi="仿宋" w:eastAsia="仿宋" w:cs="仿宋"/>
                <w:color w:val="000000"/>
                <w:sz w:val="24"/>
              </w:rPr>
            </w:pPr>
            <w:r>
              <w:rPr>
                <w:rFonts w:hint="eastAsia" w:ascii="仿宋" w:hAnsi="仿宋" w:eastAsia="仿宋" w:cs="仿宋"/>
                <w:color w:val="000000"/>
                <w:sz w:val="24"/>
              </w:rPr>
              <w:t>项目经理</w:t>
            </w:r>
          </w:p>
          <w:p w14:paraId="11AFD36E">
            <w:pPr>
              <w:pStyle w:val="446"/>
              <w:widowControl/>
              <w:spacing w:line="560" w:lineRule="exact"/>
              <w:jc w:val="center"/>
              <w:rPr>
                <w:rFonts w:hint="eastAsia" w:ascii="仿宋" w:hAnsi="仿宋" w:eastAsia="仿宋" w:cs="仿宋"/>
                <w:color w:val="000000"/>
                <w:sz w:val="28"/>
                <w:szCs w:val="28"/>
              </w:rPr>
            </w:pP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项目负责人</w:t>
            </w:r>
            <w:r>
              <w:rPr>
                <w:rFonts w:hint="eastAsia" w:ascii="仿宋" w:hAnsi="仿宋" w:eastAsia="仿宋" w:cs="仿宋"/>
                <w:color w:val="000000"/>
                <w:sz w:val="24"/>
                <w:lang w:eastAsia="zh-CN"/>
              </w:rPr>
              <w:t>）</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65E4F5F0">
            <w:pPr>
              <w:pStyle w:val="446"/>
              <w:widowControl/>
              <w:spacing w:line="560" w:lineRule="exact"/>
              <w:ind w:firstLine="560"/>
              <w:jc w:val="center"/>
              <w:rPr>
                <w:rFonts w:hint="eastAsia" w:ascii="仿宋" w:hAnsi="仿宋" w:eastAsia="仿宋" w:cs="仿宋"/>
                <w:color w:val="000000"/>
                <w:sz w:val="28"/>
                <w:szCs w:val="28"/>
              </w:rPr>
            </w:pPr>
          </w:p>
        </w:tc>
        <w:tc>
          <w:tcPr>
            <w:tcW w:w="1890" w:type="dxa"/>
            <w:tcBorders>
              <w:top w:val="single" w:color="auto" w:sz="4" w:space="0"/>
              <w:left w:val="single" w:color="auto" w:sz="4" w:space="0"/>
              <w:bottom w:val="single" w:color="auto" w:sz="4" w:space="0"/>
              <w:right w:val="single" w:color="auto" w:sz="4" w:space="0"/>
            </w:tcBorders>
            <w:noWrap w:val="0"/>
            <w:vAlign w:val="center"/>
          </w:tcPr>
          <w:p w14:paraId="76BCC08B">
            <w:pPr>
              <w:pStyle w:val="446"/>
              <w:widowControl/>
              <w:spacing w:line="560" w:lineRule="exact"/>
              <w:ind w:firstLine="560"/>
              <w:jc w:val="center"/>
              <w:rPr>
                <w:rFonts w:hint="eastAsia" w:ascii="仿宋" w:hAnsi="仿宋" w:eastAsia="仿宋" w:cs="仿宋"/>
                <w:color w:val="000000"/>
                <w:sz w:val="28"/>
                <w:szCs w:val="28"/>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60A4AB14">
            <w:pPr>
              <w:pStyle w:val="446"/>
              <w:widowControl/>
              <w:spacing w:line="560" w:lineRule="exact"/>
              <w:ind w:firstLine="560"/>
              <w:jc w:val="center"/>
              <w:rPr>
                <w:rFonts w:hint="eastAsia" w:ascii="仿宋" w:hAnsi="仿宋" w:eastAsia="仿宋" w:cs="仿宋"/>
                <w:color w:val="000000"/>
                <w:sz w:val="28"/>
                <w:szCs w:val="28"/>
              </w:rPr>
            </w:pPr>
          </w:p>
        </w:tc>
        <w:tc>
          <w:tcPr>
            <w:tcW w:w="875" w:type="dxa"/>
            <w:tcBorders>
              <w:top w:val="single" w:color="auto" w:sz="4" w:space="0"/>
              <w:left w:val="single" w:color="auto" w:sz="4" w:space="0"/>
              <w:bottom w:val="single" w:color="auto" w:sz="4" w:space="0"/>
              <w:right w:val="single" w:color="auto" w:sz="4" w:space="0"/>
            </w:tcBorders>
            <w:noWrap w:val="0"/>
            <w:vAlign w:val="center"/>
          </w:tcPr>
          <w:p w14:paraId="7C74401E">
            <w:pPr>
              <w:pStyle w:val="446"/>
              <w:widowControl/>
              <w:spacing w:line="560" w:lineRule="exact"/>
              <w:ind w:firstLine="560"/>
              <w:jc w:val="center"/>
              <w:rPr>
                <w:rFonts w:hint="eastAsia" w:ascii="仿宋" w:hAnsi="仿宋" w:eastAsia="仿宋" w:cs="仿宋"/>
                <w:color w:val="000000"/>
                <w:sz w:val="28"/>
                <w:szCs w:val="28"/>
              </w:rPr>
            </w:pPr>
          </w:p>
        </w:tc>
      </w:tr>
      <w:tr w14:paraId="43B11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93" w:type="dxa"/>
            <w:vMerge w:val="continue"/>
            <w:tcBorders>
              <w:top w:val="single" w:color="auto" w:sz="4" w:space="0"/>
              <w:left w:val="single" w:color="auto" w:sz="4" w:space="0"/>
              <w:bottom w:val="single" w:color="auto" w:sz="4" w:space="0"/>
              <w:right w:val="single" w:color="auto" w:sz="4" w:space="0"/>
            </w:tcBorders>
            <w:noWrap w:val="0"/>
            <w:vAlign w:val="center"/>
          </w:tcPr>
          <w:p w14:paraId="16160EE9">
            <w:pPr>
              <w:pStyle w:val="446"/>
              <w:widowControl/>
              <w:spacing w:line="560" w:lineRule="exact"/>
              <w:ind w:firstLine="560"/>
              <w:jc w:val="center"/>
              <w:rPr>
                <w:rFonts w:hint="eastAsia" w:ascii="仿宋" w:hAnsi="仿宋" w:eastAsia="仿宋" w:cs="仿宋"/>
                <w:color w:val="000000"/>
                <w:sz w:val="28"/>
                <w:szCs w:val="28"/>
              </w:rPr>
            </w:pPr>
          </w:p>
        </w:tc>
        <w:tc>
          <w:tcPr>
            <w:tcW w:w="2009" w:type="dxa"/>
            <w:vMerge w:val="continue"/>
            <w:tcBorders>
              <w:top w:val="single" w:color="auto" w:sz="4" w:space="0"/>
              <w:left w:val="single" w:color="auto" w:sz="4" w:space="0"/>
              <w:bottom w:val="single" w:color="auto" w:sz="4" w:space="0"/>
              <w:right w:val="single" w:color="auto" w:sz="4" w:space="0"/>
            </w:tcBorders>
            <w:noWrap w:val="0"/>
            <w:vAlign w:val="center"/>
          </w:tcPr>
          <w:p w14:paraId="442DE823">
            <w:pPr>
              <w:pStyle w:val="446"/>
              <w:widowControl/>
              <w:spacing w:line="560" w:lineRule="exact"/>
              <w:ind w:firstLine="560"/>
              <w:jc w:val="center"/>
              <w:rPr>
                <w:rFonts w:hint="eastAsia" w:ascii="仿宋" w:hAnsi="仿宋" w:eastAsia="仿宋" w:cs="仿宋"/>
                <w:color w:val="000000"/>
                <w:sz w:val="28"/>
                <w:szCs w:val="28"/>
              </w:rPr>
            </w:pPr>
          </w:p>
        </w:tc>
        <w:tc>
          <w:tcPr>
            <w:tcW w:w="2311" w:type="dxa"/>
            <w:tcBorders>
              <w:top w:val="single" w:color="auto" w:sz="4" w:space="0"/>
              <w:left w:val="single" w:color="auto" w:sz="4" w:space="0"/>
              <w:bottom w:val="single" w:color="auto" w:sz="4" w:space="0"/>
              <w:right w:val="single" w:color="auto" w:sz="4" w:space="0"/>
            </w:tcBorders>
            <w:noWrap w:val="0"/>
            <w:vAlign w:val="center"/>
          </w:tcPr>
          <w:p w14:paraId="3CD70B7C">
            <w:pPr>
              <w:pStyle w:val="446"/>
              <w:widowControl/>
              <w:spacing w:line="560" w:lineRule="exact"/>
              <w:ind w:firstLine="560"/>
              <w:jc w:val="center"/>
              <w:rPr>
                <w:rFonts w:hint="eastAsia" w:ascii="仿宋" w:hAnsi="仿宋" w:eastAsia="仿宋" w:cs="仿宋"/>
                <w:color w:val="000000"/>
                <w:sz w:val="28"/>
                <w:szCs w:val="28"/>
              </w:rPr>
            </w:pPr>
          </w:p>
        </w:tc>
        <w:tc>
          <w:tcPr>
            <w:tcW w:w="1890" w:type="dxa"/>
            <w:tcBorders>
              <w:top w:val="single" w:color="auto" w:sz="4" w:space="0"/>
              <w:left w:val="single" w:color="auto" w:sz="4" w:space="0"/>
              <w:bottom w:val="single" w:color="auto" w:sz="4" w:space="0"/>
              <w:right w:val="single" w:color="auto" w:sz="4" w:space="0"/>
            </w:tcBorders>
            <w:noWrap w:val="0"/>
            <w:vAlign w:val="center"/>
          </w:tcPr>
          <w:p w14:paraId="33B5BA0D">
            <w:pPr>
              <w:pStyle w:val="446"/>
              <w:widowControl/>
              <w:spacing w:line="560" w:lineRule="exact"/>
              <w:ind w:firstLine="560"/>
              <w:jc w:val="center"/>
              <w:rPr>
                <w:rFonts w:hint="eastAsia" w:ascii="仿宋" w:hAnsi="仿宋" w:eastAsia="仿宋" w:cs="仿宋"/>
                <w:color w:val="000000"/>
                <w:sz w:val="28"/>
                <w:szCs w:val="28"/>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5D6B9873">
            <w:pPr>
              <w:pStyle w:val="446"/>
              <w:widowControl/>
              <w:spacing w:line="560" w:lineRule="exact"/>
              <w:ind w:firstLine="560"/>
              <w:jc w:val="center"/>
              <w:rPr>
                <w:rFonts w:hint="eastAsia" w:ascii="仿宋" w:hAnsi="仿宋" w:eastAsia="仿宋" w:cs="仿宋"/>
                <w:color w:val="000000"/>
                <w:sz w:val="28"/>
                <w:szCs w:val="28"/>
              </w:rPr>
            </w:pPr>
          </w:p>
        </w:tc>
        <w:tc>
          <w:tcPr>
            <w:tcW w:w="875" w:type="dxa"/>
            <w:tcBorders>
              <w:top w:val="single" w:color="auto" w:sz="4" w:space="0"/>
              <w:left w:val="single" w:color="auto" w:sz="4" w:space="0"/>
              <w:bottom w:val="single" w:color="auto" w:sz="4" w:space="0"/>
              <w:right w:val="single" w:color="auto" w:sz="4" w:space="0"/>
            </w:tcBorders>
            <w:noWrap w:val="0"/>
            <w:vAlign w:val="center"/>
          </w:tcPr>
          <w:p w14:paraId="791E3562">
            <w:pPr>
              <w:pStyle w:val="446"/>
              <w:widowControl/>
              <w:spacing w:line="560" w:lineRule="exact"/>
              <w:ind w:firstLine="560"/>
              <w:jc w:val="center"/>
              <w:rPr>
                <w:rFonts w:hint="eastAsia" w:ascii="仿宋" w:hAnsi="仿宋" w:eastAsia="仿宋" w:cs="仿宋"/>
                <w:color w:val="000000"/>
                <w:sz w:val="28"/>
                <w:szCs w:val="28"/>
              </w:rPr>
            </w:pPr>
          </w:p>
        </w:tc>
      </w:tr>
      <w:tr w14:paraId="0A68E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93" w:type="dxa"/>
            <w:vMerge w:val="continue"/>
            <w:tcBorders>
              <w:top w:val="single" w:color="auto" w:sz="4" w:space="0"/>
              <w:left w:val="single" w:color="auto" w:sz="4" w:space="0"/>
              <w:bottom w:val="single" w:color="auto" w:sz="4" w:space="0"/>
              <w:right w:val="single" w:color="auto" w:sz="4" w:space="0"/>
            </w:tcBorders>
            <w:noWrap w:val="0"/>
            <w:vAlign w:val="center"/>
          </w:tcPr>
          <w:p w14:paraId="4F4CD5B1">
            <w:pPr>
              <w:pStyle w:val="446"/>
              <w:widowControl/>
              <w:spacing w:line="560" w:lineRule="exact"/>
              <w:ind w:firstLine="560"/>
              <w:jc w:val="center"/>
              <w:rPr>
                <w:rFonts w:hint="eastAsia" w:ascii="仿宋" w:hAnsi="仿宋" w:eastAsia="仿宋" w:cs="仿宋"/>
                <w:color w:val="000000"/>
                <w:sz w:val="28"/>
                <w:szCs w:val="28"/>
              </w:rPr>
            </w:pPr>
          </w:p>
        </w:tc>
        <w:tc>
          <w:tcPr>
            <w:tcW w:w="2009" w:type="dxa"/>
            <w:vMerge w:val="continue"/>
            <w:tcBorders>
              <w:top w:val="single" w:color="auto" w:sz="4" w:space="0"/>
              <w:left w:val="single" w:color="auto" w:sz="4" w:space="0"/>
              <w:bottom w:val="single" w:color="auto" w:sz="4" w:space="0"/>
              <w:right w:val="single" w:color="auto" w:sz="4" w:space="0"/>
            </w:tcBorders>
            <w:noWrap w:val="0"/>
            <w:vAlign w:val="center"/>
          </w:tcPr>
          <w:p w14:paraId="2EFAF063">
            <w:pPr>
              <w:pStyle w:val="446"/>
              <w:widowControl/>
              <w:spacing w:line="560" w:lineRule="exact"/>
              <w:ind w:firstLine="560"/>
              <w:jc w:val="center"/>
              <w:rPr>
                <w:rFonts w:hint="eastAsia" w:ascii="仿宋" w:hAnsi="仿宋" w:eastAsia="仿宋" w:cs="仿宋"/>
                <w:color w:val="000000"/>
                <w:sz w:val="28"/>
                <w:szCs w:val="28"/>
              </w:rPr>
            </w:pPr>
          </w:p>
        </w:tc>
        <w:tc>
          <w:tcPr>
            <w:tcW w:w="2311" w:type="dxa"/>
            <w:tcBorders>
              <w:top w:val="single" w:color="auto" w:sz="4" w:space="0"/>
              <w:left w:val="single" w:color="auto" w:sz="4" w:space="0"/>
              <w:bottom w:val="single" w:color="auto" w:sz="4" w:space="0"/>
              <w:right w:val="single" w:color="auto" w:sz="4" w:space="0"/>
            </w:tcBorders>
            <w:noWrap w:val="0"/>
            <w:vAlign w:val="center"/>
          </w:tcPr>
          <w:p w14:paraId="5E3EC791">
            <w:pPr>
              <w:pStyle w:val="446"/>
              <w:widowControl/>
              <w:spacing w:line="560" w:lineRule="exact"/>
              <w:ind w:firstLine="560"/>
              <w:jc w:val="center"/>
              <w:rPr>
                <w:rFonts w:hint="eastAsia" w:ascii="仿宋" w:hAnsi="仿宋" w:eastAsia="仿宋" w:cs="仿宋"/>
                <w:color w:val="000000"/>
                <w:sz w:val="28"/>
                <w:szCs w:val="28"/>
              </w:rPr>
            </w:pPr>
          </w:p>
        </w:tc>
        <w:tc>
          <w:tcPr>
            <w:tcW w:w="1890" w:type="dxa"/>
            <w:tcBorders>
              <w:top w:val="single" w:color="auto" w:sz="4" w:space="0"/>
              <w:left w:val="single" w:color="auto" w:sz="4" w:space="0"/>
              <w:bottom w:val="single" w:color="auto" w:sz="4" w:space="0"/>
              <w:right w:val="single" w:color="auto" w:sz="4" w:space="0"/>
            </w:tcBorders>
            <w:noWrap w:val="0"/>
            <w:vAlign w:val="center"/>
          </w:tcPr>
          <w:p w14:paraId="4FA70B52">
            <w:pPr>
              <w:pStyle w:val="446"/>
              <w:widowControl/>
              <w:spacing w:line="560" w:lineRule="exact"/>
              <w:ind w:firstLine="560"/>
              <w:jc w:val="center"/>
              <w:rPr>
                <w:rFonts w:hint="eastAsia" w:ascii="仿宋" w:hAnsi="仿宋" w:eastAsia="仿宋" w:cs="仿宋"/>
                <w:color w:val="000000"/>
                <w:sz w:val="28"/>
                <w:szCs w:val="28"/>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28D3C36D">
            <w:pPr>
              <w:pStyle w:val="446"/>
              <w:widowControl/>
              <w:spacing w:line="560" w:lineRule="exact"/>
              <w:ind w:firstLine="560"/>
              <w:jc w:val="center"/>
              <w:rPr>
                <w:rFonts w:hint="eastAsia" w:ascii="仿宋" w:hAnsi="仿宋" w:eastAsia="仿宋" w:cs="仿宋"/>
                <w:color w:val="000000"/>
                <w:sz w:val="28"/>
                <w:szCs w:val="28"/>
              </w:rPr>
            </w:pPr>
          </w:p>
        </w:tc>
        <w:tc>
          <w:tcPr>
            <w:tcW w:w="875" w:type="dxa"/>
            <w:tcBorders>
              <w:top w:val="single" w:color="auto" w:sz="4" w:space="0"/>
              <w:left w:val="single" w:color="auto" w:sz="4" w:space="0"/>
              <w:bottom w:val="single" w:color="auto" w:sz="4" w:space="0"/>
              <w:right w:val="single" w:color="auto" w:sz="4" w:space="0"/>
            </w:tcBorders>
            <w:noWrap w:val="0"/>
            <w:vAlign w:val="center"/>
          </w:tcPr>
          <w:p w14:paraId="312B9085">
            <w:pPr>
              <w:pStyle w:val="446"/>
              <w:widowControl/>
              <w:spacing w:line="560" w:lineRule="exact"/>
              <w:ind w:firstLine="560"/>
              <w:jc w:val="center"/>
              <w:rPr>
                <w:rFonts w:hint="eastAsia" w:ascii="仿宋" w:hAnsi="仿宋" w:eastAsia="仿宋" w:cs="仿宋"/>
                <w:color w:val="000000"/>
                <w:sz w:val="28"/>
                <w:szCs w:val="28"/>
              </w:rPr>
            </w:pPr>
          </w:p>
        </w:tc>
      </w:tr>
      <w:tr w14:paraId="5A012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93" w:type="dxa"/>
            <w:vMerge w:val="continue"/>
            <w:tcBorders>
              <w:top w:val="single" w:color="auto" w:sz="4" w:space="0"/>
              <w:left w:val="single" w:color="auto" w:sz="4" w:space="0"/>
              <w:bottom w:val="single" w:color="auto" w:sz="4" w:space="0"/>
              <w:right w:val="single" w:color="auto" w:sz="4" w:space="0"/>
            </w:tcBorders>
            <w:noWrap w:val="0"/>
            <w:vAlign w:val="center"/>
          </w:tcPr>
          <w:p w14:paraId="4188D5F6">
            <w:pPr>
              <w:pStyle w:val="446"/>
              <w:widowControl/>
              <w:spacing w:line="560" w:lineRule="exact"/>
              <w:ind w:firstLine="560"/>
              <w:jc w:val="center"/>
              <w:rPr>
                <w:rFonts w:hint="eastAsia" w:ascii="仿宋" w:hAnsi="仿宋" w:eastAsia="仿宋" w:cs="仿宋"/>
                <w:color w:val="000000"/>
                <w:sz w:val="28"/>
                <w:szCs w:val="28"/>
              </w:rPr>
            </w:pPr>
          </w:p>
        </w:tc>
        <w:tc>
          <w:tcPr>
            <w:tcW w:w="2009" w:type="dxa"/>
            <w:vMerge w:val="continue"/>
            <w:tcBorders>
              <w:top w:val="single" w:color="auto" w:sz="4" w:space="0"/>
              <w:left w:val="single" w:color="auto" w:sz="4" w:space="0"/>
              <w:bottom w:val="single" w:color="auto" w:sz="4" w:space="0"/>
              <w:right w:val="single" w:color="auto" w:sz="4" w:space="0"/>
            </w:tcBorders>
            <w:noWrap w:val="0"/>
            <w:vAlign w:val="center"/>
          </w:tcPr>
          <w:p w14:paraId="26F01516">
            <w:pPr>
              <w:pStyle w:val="446"/>
              <w:widowControl/>
              <w:spacing w:line="560" w:lineRule="exact"/>
              <w:ind w:firstLine="560"/>
              <w:jc w:val="center"/>
              <w:rPr>
                <w:rFonts w:hint="eastAsia" w:ascii="仿宋" w:hAnsi="仿宋" w:eastAsia="仿宋" w:cs="仿宋"/>
                <w:color w:val="000000"/>
                <w:sz w:val="28"/>
                <w:szCs w:val="28"/>
              </w:rPr>
            </w:pPr>
          </w:p>
        </w:tc>
        <w:tc>
          <w:tcPr>
            <w:tcW w:w="2311" w:type="dxa"/>
            <w:tcBorders>
              <w:top w:val="single" w:color="auto" w:sz="4" w:space="0"/>
              <w:left w:val="single" w:color="auto" w:sz="4" w:space="0"/>
              <w:bottom w:val="single" w:color="auto" w:sz="4" w:space="0"/>
              <w:right w:val="single" w:color="auto" w:sz="4" w:space="0"/>
            </w:tcBorders>
            <w:noWrap w:val="0"/>
            <w:vAlign w:val="center"/>
          </w:tcPr>
          <w:p w14:paraId="2AED8EC0">
            <w:pPr>
              <w:pStyle w:val="446"/>
              <w:widowControl/>
              <w:spacing w:line="560" w:lineRule="exact"/>
              <w:ind w:firstLine="560"/>
              <w:jc w:val="center"/>
              <w:rPr>
                <w:rFonts w:hint="eastAsia" w:ascii="仿宋" w:hAnsi="仿宋" w:eastAsia="仿宋" w:cs="仿宋"/>
                <w:color w:val="000000"/>
                <w:sz w:val="28"/>
                <w:szCs w:val="28"/>
              </w:rPr>
            </w:pPr>
          </w:p>
        </w:tc>
        <w:tc>
          <w:tcPr>
            <w:tcW w:w="1890" w:type="dxa"/>
            <w:tcBorders>
              <w:top w:val="single" w:color="auto" w:sz="4" w:space="0"/>
              <w:left w:val="single" w:color="auto" w:sz="4" w:space="0"/>
              <w:bottom w:val="single" w:color="auto" w:sz="4" w:space="0"/>
              <w:right w:val="single" w:color="auto" w:sz="4" w:space="0"/>
            </w:tcBorders>
            <w:noWrap w:val="0"/>
            <w:vAlign w:val="center"/>
          </w:tcPr>
          <w:p w14:paraId="2B54D179">
            <w:pPr>
              <w:pStyle w:val="446"/>
              <w:widowControl/>
              <w:spacing w:line="560" w:lineRule="exact"/>
              <w:ind w:firstLine="560"/>
              <w:jc w:val="center"/>
              <w:rPr>
                <w:rFonts w:hint="eastAsia" w:ascii="仿宋" w:hAnsi="仿宋" w:eastAsia="仿宋" w:cs="仿宋"/>
                <w:color w:val="000000"/>
                <w:sz w:val="28"/>
                <w:szCs w:val="28"/>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5DF2B9CB">
            <w:pPr>
              <w:pStyle w:val="446"/>
              <w:widowControl/>
              <w:spacing w:line="560" w:lineRule="exact"/>
              <w:ind w:firstLine="560"/>
              <w:jc w:val="center"/>
              <w:rPr>
                <w:rFonts w:hint="eastAsia" w:ascii="仿宋" w:hAnsi="仿宋" w:eastAsia="仿宋" w:cs="仿宋"/>
                <w:color w:val="000000"/>
                <w:sz w:val="28"/>
                <w:szCs w:val="28"/>
              </w:rPr>
            </w:pPr>
          </w:p>
        </w:tc>
        <w:tc>
          <w:tcPr>
            <w:tcW w:w="875" w:type="dxa"/>
            <w:tcBorders>
              <w:top w:val="single" w:color="auto" w:sz="4" w:space="0"/>
              <w:left w:val="single" w:color="auto" w:sz="4" w:space="0"/>
              <w:bottom w:val="single" w:color="auto" w:sz="4" w:space="0"/>
              <w:right w:val="single" w:color="auto" w:sz="4" w:space="0"/>
            </w:tcBorders>
            <w:noWrap w:val="0"/>
            <w:vAlign w:val="center"/>
          </w:tcPr>
          <w:p w14:paraId="00D9BA97">
            <w:pPr>
              <w:pStyle w:val="446"/>
              <w:widowControl/>
              <w:spacing w:line="560" w:lineRule="exact"/>
              <w:ind w:firstLine="560"/>
              <w:jc w:val="center"/>
              <w:rPr>
                <w:rFonts w:hint="eastAsia" w:ascii="仿宋" w:hAnsi="仿宋" w:eastAsia="仿宋" w:cs="仿宋"/>
                <w:color w:val="000000"/>
                <w:sz w:val="28"/>
                <w:szCs w:val="28"/>
              </w:rPr>
            </w:pPr>
          </w:p>
        </w:tc>
      </w:tr>
      <w:tr w14:paraId="733A7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93" w:type="dxa"/>
            <w:vMerge w:val="continue"/>
            <w:tcBorders>
              <w:top w:val="single" w:color="auto" w:sz="4" w:space="0"/>
              <w:left w:val="single" w:color="auto" w:sz="4" w:space="0"/>
              <w:bottom w:val="single" w:color="auto" w:sz="4" w:space="0"/>
              <w:right w:val="single" w:color="auto" w:sz="4" w:space="0"/>
            </w:tcBorders>
            <w:noWrap w:val="0"/>
            <w:vAlign w:val="center"/>
          </w:tcPr>
          <w:p w14:paraId="2A1621E4">
            <w:pPr>
              <w:pStyle w:val="446"/>
              <w:widowControl/>
              <w:spacing w:line="560" w:lineRule="exact"/>
              <w:ind w:firstLine="560"/>
              <w:jc w:val="center"/>
              <w:rPr>
                <w:rFonts w:hint="eastAsia" w:ascii="仿宋" w:hAnsi="仿宋" w:eastAsia="仿宋" w:cs="仿宋"/>
                <w:color w:val="000000"/>
                <w:sz w:val="28"/>
                <w:szCs w:val="28"/>
              </w:rPr>
            </w:pPr>
          </w:p>
        </w:tc>
        <w:tc>
          <w:tcPr>
            <w:tcW w:w="2009" w:type="dxa"/>
            <w:vMerge w:val="continue"/>
            <w:tcBorders>
              <w:top w:val="single" w:color="auto" w:sz="4" w:space="0"/>
              <w:left w:val="single" w:color="auto" w:sz="4" w:space="0"/>
              <w:bottom w:val="single" w:color="auto" w:sz="4" w:space="0"/>
              <w:right w:val="single" w:color="auto" w:sz="4" w:space="0"/>
            </w:tcBorders>
            <w:noWrap w:val="0"/>
            <w:vAlign w:val="center"/>
          </w:tcPr>
          <w:p w14:paraId="467B06A5">
            <w:pPr>
              <w:pStyle w:val="446"/>
              <w:widowControl/>
              <w:spacing w:line="560" w:lineRule="exact"/>
              <w:ind w:firstLine="560"/>
              <w:jc w:val="center"/>
              <w:rPr>
                <w:rFonts w:hint="eastAsia" w:ascii="仿宋" w:hAnsi="仿宋" w:eastAsia="仿宋" w:cs="仿宋"/>
                <w:color w:val="000000"/>
                <w:sz w:val="28"/>
                <w:szCs w:val="28"/>
              </w:rPr>
            </w:pPr>
          </w:p>
        </w:tc>
        <w:tc>
          <w:tcPr>
            <w:tcW w:w="2311" w:type="dxa"/>
            <w:tcBorders>
              <w:top w:val="single" w:color="auto" w:sz="4" w:space="0"/>
              <w:left w:val="single" w:color="auto" w:sz="4" w:space="0"/>
              <w:bottom w:val="single" w:color="auto" w:sz="4" w:space="0"/>
              <w:right w:val="single" w:color="auto" w:sz="4" w:space="0"/>
            </w:tcBorders>
            <w:noWrap w:val="0"/>
            <w:vAlign w:val="center"/>
          </w:tcPr>
          <w:p w14:paraId="036DC2BC">
            <w:pPr>
              <w:pStyle w:val="446"/>
              <w:widowControl/>
              <w:spacing w:line="560" w:lineRule="exact"/>
              <w:ind w:firstLine="560"/>
              <w:jc w:val="center"/>
              <w:rPr>
                <w:rFonts w:hint="eastAsia" w:ascii="仿宋" w:hAnsi="仿宋" w:eastAsia="仿宋" w:cs="仿宋"/>
                <w:color w:val="000000"/>
                <w:sz w:val="28"/>
                <w:szCs w:val="28"/>
              </w:rPr>
            </w:pPr>
          </w:p>
        </w:tc>
        <w:tc>
          <w:tcPr>
            <w:tcW w:w="1890" w:type="dxa"/>
            <w:tcBorders>
              <w:top w:val="single" w:color="auto" w:sz="4" w:space="0"/>
              <w:left w:val="single" w:color="auto" w:sz="4" w:space="0"/>
              <w:bottom w:val="single" w:color="auto" w:sz="4" w:space="0"/>
              <w:right w:val="single" w:color="auto" w:sz="4" w:space="0"/>
            </w:tcBorders>
            <w:noWrap w:val="0"/>
            <w:vAlign w:val="center"/>
          </w:tcPr>
          <w:p w14:paraId="47A3DF5E">
            <w:pPr>
              <w:pStyle w:val="446"/>
              <w:widowControl/>
              <w:spacing w:line="560" w:lineRule="exact"/>
              <w:ind w:firstLine="560"/>
              <w:jc w:val="center"/>
              <w:rPr>
                <w:rFonts w:hint="eastAsia" w:ascii="仿宋" w:hAnsi="仿宋" w:eastAsia="仿宋" w:cs="仿宋"/>
                <w:color w:val="000000"/>
                <w:sz w:val="28"/>
                <w:szCs w:val="28"/>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32158853">
            <w:pPr>
              <w:pStyle w:val="446"/>
              <w:widowControl/>
              <w:spacing w:line="560" w:lineRule="exact"/>
              <w:ind w:firstLine="560"/>
              <w:jc w:val="center"/>
              <w:rPr>
                <w:rFonts w:hint="eastAsia" w:ascii="仿宋" w:hAnsi="仿宋" w:eastAsia="仿宋" w:cs="仿宋"/>
                <w:color w:val="000000"/>
                <w:sz w:val="28"/>
                <w:szCs w:val="28"/>
              </w:rPr>
            </w:pPr>
          </w:p>
        </w:tc>
        <w:tc>
          <w:tcPr>
            <w:tcW w:w="875" w:type="dxa"/>
            <w:tcBorders>
              <w:top w:val="single" w:color="auto" w:sz="4" w:space="0"/>
              <w:left w:val="single" w:color="auto" w:sz="4" w:space="0"/>
              <w:bottom w:val="single" w:color="auto" w:sz="4" w:space="0"/>
              <w:right w:val="single" w:color="auto" w:sz="4" w:space="0"/>
            </w:tcBorders>
            <w:noWrap w:val="0"/>
            <w:vAlign w:val="center"/>
          </w:tcPr>
          <w:p w14:paraId="049A7D70">
            <w:pPr>
              <w:pStyle w:val="446"/>
              <w:widowControl/>
              <w:spacing w:line="560" w:lineRule="exact"/>
              <w:ind w:firstLine="560"/>
              <w:jc w:val="center"/>
              <w:rPr>
                <w:rFonts w:hint="eastAsia" w:ascii="仿宋" w:hAnsi="仿宋" w:eastAsia="仿宋" w:cs="仿宋"/>
                <w:color w:val="000000"/>
                <w:sz w:val="28"/>
                <w:szCs w:val="28"/>
              </w:rPr>
            </w:pPr>
          </w:p>
        </w:tc>
      </w:tr>
      <w:tr w14:paraId="3B915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93" w:type="dxa"/>
            <w:tcBorders>
              <w:top w:val="single" w:color="auto" w:sz="4" w:space="0"/>
              <w:left w:val="single" w:color="auto" w:sz="4" w:space="0"/>
              <w:bottom w:val="single" w:color="auto" w:sz="4" w:space="0"/>
              <w:right w:val="single" w:color="auto" w:sz="4" w:space="0"/>
            </w:tcBorders>
            <w:noWrap w:val="0"/>
            <w:vAlign w:val="center"/>
          </w:tcPr>
          <w:p w14:paraId="717B80F3">
            <w:pPr>
              <w:pStyle w:val="446"/>
              <w:widowControl/>
              <w:spacing w:line="560" w:lineRule="exact"/>
              <w:ind w:firstLine="560"/>
              <w:jc w:val="center"/>
              <w:rPr>
                <w:rFonts w:hint="eastAsia" w:ascii="仿宋" w:hAnsi="仿宋" w:eastAsia="仿宋" w:cs="仿宋"/>
                <w:color w:val="000000"/>
                <w:sz w:val="28"/>
                <w:szCs w:val="28"/>
              </w:rPr>
            </w:pPr>
          </w:p>
        </w:tc>
        <w:tc>
          <w:tcPr>
            <w:tcW w:w="2009" w:type="dxa"/>
            <w:tcBorders>
              <w:top w:val="single" w:color="auto" w:sz="4" w:space="0"/>
              <w:left w:val="single" w:color="auto" w:sz="4" w:space="0"/>
              <w:bottom w:val="single" w:color="auto" w:sz="4" w:space="0"/>
              <w:right w:val="single" w:color="auto" w:sz="4" w:space="0"/>
            </w:tcBorders>
            <w:noWrap w:val="0"/>
            <w:vAlign w:val="center"/>
          </w:tcPr>
          <w:p w14:paraId="447461DF">
            <w:pPr>
              <w:pStyle w:val="446"/>
              <w:widowControl/>
              <w:spacing w:line="560" w:lineRule="exact"/>
              <w:jc w:val="center"/>
              <w:rPr>
                <w:rFonts w:hint="eastAsia" w:ascii="仿宋" w:hAnsi="仿宋" w:eastAsia="仿宋" w:cs="仿宋"/>
                <w:color w:val="000000"/>
                <w:sz w:val="24"/>
              </w:rPr>
            </w:pPr>
          </w:p>
        </w:tc>
        <w:tc>
          <w:tcPr>
            <w:tcW w:w="2311" w:type="dxa"/>
            <w:tcBorders>
              <w:top w:val="single" w:color="auto" w:sz="4" w:space="0"/>
              <w:left w:val="single" w:color="auto" w:sz="4" w:space="0"/>
              <w:bottom w:val="single" w:color="auto" w:sz="4" w:space="0"/>
              <w:right w:val="single" w:color="auto" w:sz="4" w:space="0"/>
            </w:tcBorders>
            <w:noWrap w:val="0"/>
            <w:vAlign w:val="center"/>
          </w:tcPr>
          <w:p w14:paraId="67FA07E6">
            <w:pPr>
              <w:pStyle w:val="446"/>
              <w:widowControl/>
              <w:spacing w:line="560" w:lineRule="exact"/>
              <w:ind w:firstLine="560"/>
              <w:jc w:val="center"/>
              <w:rPr>
                <w:rFonts w:hint="eastAsia" w:ascii="仿宋" w:hAnsi="仿宋" w:eastAsia="仿宋" w:cs="仿宋"/>
                <w:color w:val="000000"/>
                <w:sz w:val="28"/>
                <w:szCs w:val="28"/>
              </w:rPr>
            </w:pPr>
          </w:p>
        </w:tc>
        <w:tc>
          <w:tcPr>
            <w:tcW w:w="1890" w:type="dxa"/>
            <w:tcBorders>
              <w:top w:val="single" w:color="auto" w:sz="4" w:space="0"/>
              <w:left w:val="single" w:color="auto" w:sz="4" w:space="0"/>
              <w:bottom w:val="single" w:color="auto" w:sz="4" w:space="0"/>
              <w:right w:val="single" w:color="auto" w:sz="4" w:space="0"/>
            </w:tcBorders>
            <w:noWrap w:val="0"/>
            <w:vAlign w:val="center"/>
          </w:tcPr>
          <w:p w14:paraId="3F82C4F0">
            <w:pPr>
              <w:pStyle w:val="446"/>
              <w:widowControl/>
              <w:spacing w:line="560" w:lineRule="exact"/>
              <w:ind w:firstLine="560"/>
              <w:jc w:val="center"/>
              <w:rPr>
                <w:rFonts w:hint="eastAsia" w:ascii="仿宋" w:hAnsi="仿宋" w:eastAsia="仿宋" w:cs="仿宋"/>
                <w:color w:val="000000"/>
                <w:sz w:val="28"/>
                <w:szCs w:val="28"/>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7527B1B7">
            <w:pPr>
              <w:pStyle w:val="446"/>
              <w:widowControl/>
              <w:spacing w:line="560" w:lineRule="exact"/>
              <w:ind w:firstLine="560"/>
              <w:jc w:val="center"/>
              <w:rPr>
                <w:rFonts w:hint="eastAsia" w:ascii="仿宋" w:hAnsi="仿宋" w:eastAsia="仿宋" w:cs="仿宋"/>
                <w:color w:val="000000"/>
                <w:sz w:val="28"/>
                <w:szCs w:val="28"/>
              </w:rPr>
            </w:pPr>
          </w:p>
        </w:tc>
        <w:tc>
          <w:tcPr>
            <w:tcW w:w="875" w:type="dxa"/>
            <w:tcBorders>
              <w:top w:val="single" w:color="auto" w:sz="4" w:space="0"/>
              <w:left w:val="single" w:color="auto" w:sz="4" w:space="0"/>
              <w:bottom w:val="single" w:color="auto" w:sz="4" w:space="0"/>
              <w:right w:val="single" w:color="auto" w:sz="4" w:space="0"/>
            </w:tcBorders>
            <w:noWrap w:val="0"/>
            <w:vAlign w:val="center"/>
          </w:tcPr>
          <w:p w14:paraId="3646D996">
            <w:pPr>
              <w:pStyle w:val="446"/>
              <w:widowControl/>
              <w:spacing w:line="560" w:lineRule="exact"/>
              <w:ind w:firstLine="560"/>
              <w:jc w:val="center"/>
              <w:rPr>
                <w:rFonts w:hint="eastAsia" w:ascii="仿宋" w:hAnsi="仿宋" w:eastAsia="仿宋" w:cs="仿宋"/>
                <w:color w:val="000000"/>
                <w:sz w:val="28"/>
                <w:szCs w:val="28"/>
              </w:rPr>
            </w:pPr>
          </w:p>
        </w:tc>
      </w:tr>
      <w:tr w14:paraId="7B7A4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93" w:type="dxa"/>
            <w:tcBorders>
              <w:top w:val="single" w:color="auto" w:sz="4" w:space="0"/>
              <w:left w:val="single" w:color="auto" w:sz="4" w:space="0"/>
              <w:bottom w:val="single" w:color="auto" w:sz="4" w:space="0"/>
              <w:right w:val="single" w:color="auto" w:sz="4" w:space="0"/>
            </w:tcBorders>
            <w:noWrap w:val="0"/>
            <w:vAlign w:val="center"/>
          </w:tcPr>
          <w:p w14:paraId="0E3C55B8">
            <w:pPr>
              <w:pStyle w:val="446"/>
              <w:widowControl/>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w:t>
            </w:r>
          </w:p>
        </w:tc>
        <w:tc>
          <w:tcPr>
            <w:tcW w:w="2009" w:type="dxa"/>
            <w:tcBorders>
              <w:top w:val="single" w:color="auto" w:sz="4" w:space="0"/>
              <w:left w:val="single" w:color="auto" w:sz="4" w:space="0"/>
              <w:bottom w:val="single" w:color="auto" w:sz="4" w:space="0"/>
              <w:right w:val="single" w:color="auto" w:sz="4" w:space="0"/>
            </w:tcBorders>
            <w:noWrap w:val="0"/>
            <w:vAlign w:val="center"/>
          </w:tcPr>
          <w:p w14:paraId="441E67BA">
            <w:pPr>
              <w:pStyle w:val="446"/>
              <w:widowControl/>
              <w:spacing w:line="560" w:lineRule="exact"/>
              <w:ind w:firstLine="560"/>
              <w:jc w:val="center"/>
              <w:rPr>
                <w:rFonts w:hint="eastAsia" w:ascii="仿宋" w:hAnsi="仿宋" w:eastAsia="仿宋" w:cs="仿宋"/>
                <w:color w:val="000000"/>
                <w:sz w:val="28"/>
                <w:szCs w:val="28"/>
              </w:rPr>
            </w:pPr>
          </w:p>
        </w:tc>
        <w:tc>
          <w:tcPr>
            <w:tcW w:w="2311" w:type="dxa"/>
            <w:tcBorders>
              <w:top w:val="single" w:color="auto" w:sz="4" w:space="0"/>
              <w:left w:val="single" w:color="auto" w:sz="4" w:space="0"/>
              <w:bottom w:val="single" w:color="auto" w:sz="4" w:space="0"/>
              <w:right w:val="single" w:color="auto" w:sz="4" w:space="0"/>
            </w:tcBorders>
            <w:noWrap w:val="0"/>
            <w:vAlign w:val="center"/>
          </w:tcPr>
          <w:p w14:paraId="1971A9D2">
            <w:pPr>
              <w:pStyle w:val="446"/>
              <w:widowControl/>
              <w:spacing w:line="560" w:lineRule="exact"/>
              <w:ind w:firstLine="560"/>
              <w:jc w:val="center"/>
              <w:rPr>
                <w:rFonts w:hint="eastAsia" w:ascii="仿宋" w:hAnsi="仿宋" w:eastAsia="仿宋" w:cs="仿宋"/>
                <w:color w:val="000000"/>
                <w:sz w:val="28"/>
                <w:szCs w:val="28"/>
              </w:rPr>
            </w:pPr>
          </w:p>
        </w:tc>
        <w:tc>
          <w:tcPr>
            <w:tcW w:w="1890" w:type="dxa"/>
            <w:tcBorders>
              <w:top w:val="single" w:color="auto" w:sz="4" w:space="0"/>
              <w:left w:val="single" w:color="auto" w:sz="4" w:space="0"/>
              <w:bottom w:val="single" w:color="auto" w:sz="4" w:space="0"/>
              <w:right w:val="single" w:color="auto" w:sz="4" w:space="0"/>
            </w:tcBorders>
            <w:noWrap w:val="0"/>
            <w:vAlign w:val="center"/>
          </w:tcPr>
          <w:p w14:paraId="7B67B082">
            <w:pPr>
              <w:pStyle w:val="446"/>
              <w:widowControl/>
              <w:spacing w:line="560" w:lineRule="exact"/>
              <w:ind w:firstLine="560"/>
              <w:jc w:val="center"/>
              <w:rPr>
                <w:rFonts w:hint="eastAsia" w:ascii="仿宋" w:hAnsi="仿宋" w:eastAsia="仿宋" w:cs="仿宋"/>
                <w:color w:val="000000"/>
                <w:sz w:val="28"/>
                <w:szCs w:val="28"/>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028D06EC">
            <w:pPr>
              <w:pStyle w:val="446"/>
              <w:widowControl/>
              <w:spacing w:line="560" w:lineRule="exact"/>
              <w:ind w:firstLine="560"/>
              <w:jc w:val="center"/>
              <w:rPr>
                <w:rFonts w:hint="eastAsia" w:ascii="仿宋" w:hAnsi="仿宋" w:eastAsia="仿宋" w:cs="仿宋"/>
                <w:color w:val="000000"/>
                <w:sz w:val="28"/>
                <w:szCs w:val="28"/>
              </w:rPr>
            </w:pPr>
          </w:p>
        </w:tc>
        <w:tc>
          <w:tcPr>
            <w:tcW w:w="875" w:type="dxa"/>
            <w:tcBorders>
              <w:top w:val="single" w:color="auto" w:sz="4" w:space="0"/>
              <w:left w:val="single" w:color="auto" w:sz="4" w:space="0"/>
              <w:bottom w:val="single" w:color="auto" w:sz="4" w:space="0"/>
              <w:right w:val="single" w:color="auto" w:sz="4" w:space="0"/>
            </w:tcBorders>
            <w:noWrap w:val="0"/>
            <w:vAlign w:val="center"/>
          </w:tcPr>
          <w:p w14:paraId="47BEEC53">
            <w:pPr>
              <w:pStyle w:val="446"/>
              <w:widowControl/>
              <w:spacing w:line="560" w:lineRule="exact"/>
              <w:ind w:firstLine="560"/>
              <w:jc w:val="center"/>
              <w:rPr>
                <w:rFonts w:hint="eastAsia" w:ascii="仿宋" w:hAnsi="仿宋" w:eastAsia="仿宋" w:cs="仿宋"/>
                <w:color w:val="000000"/>
                <w:sz w:val="28"/>
                <w:szCs w:val="28"/>
              </w:rPr>
            </w:pPr>
          </w:p>
        </w:tc>
      </w:tr>
    </w:tbl>
    <w:p w14:paraId="0B1984A9">
      <w:pPr>
        <w:spacing w:line="480" w:lineRule="exact"/>
        <w:ind w:firstLine="210"/>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注：如投标人中标，项目</w:t>
      </w:r>
      <w:r>
        <w:rPr>
          <w:rFonts w:hint="eastAsia" w:ascii="仿宋" w:hAnsi="仿宋" w:eastAsia="仿宋" w:cs="仿宋"/>
          <w:color w:val="000000"/>
          <w:sz w:val="24"/>
          <w:szCs w:val="20"/>
          <w:lang w:val="en-US" w:eastAsia="zh-CN"/>
        </w:rPr>
        <w:t>组成员</w:t>
      </w:r>
      <w:r>
        <w:rPr>
          <w:rFonts w:hint="eastAsia" w:ascii="仿宋" w:hAnsi="仿宋" w:eastAsia="仿宋" w:cs="仿宋"/>
          <w:color w:val="000000"/>
          <w:sz w:val="24"/>
          <w:szCs w:val="20"/>
        </w:rPr>
        <w:t>按本表承诺人员操作，不得随意更换。</w:t>
      </w:r>
    </w:p>
    <w:p w14:paraId="3B0F139C">
      <w:pPr>
        <w:ind w:firstLine="210"/>
        <w:rPr>
          <w:rFonts w:hint="eastAsia" w:ascii="仿宋" w:hAnsi="仿宋" w:eastAsia="仿宋" w:cs="仿宋"/>
          <w:color w:val="000000"/>
          <w:szCs w:val="21"/>
        </w:rPr>
      </w:pPr>
    </w:p>
    <w:p w14:paraId="491BC788">
      <w:pPr>
        <w:ind w:firstLine="210"/>
        <w:rPr>
          <w:rFonts w:hint="eastAsia" w:ascii="仿宋" w:hAnsi="仿宋" w:eastAsia="仿宋" w:cs="仿宋"/>
          <w:color w:val="000000"/>
          <w:szCs w:val="21"/>
        </w:rPr>
      </w:pPr>
    </w:p>
    <w:p w14:paraId="68D896F9">
      <w:pPr>
        <w:ind w:firstLine="210"/>
        <w:rPr>
          <w:rFonts w:hint="eastAsia" w:ascii="仿宋" w:hAnsi="仿宋" w:eastAsia="仿宋" w:cs="仿宋"/>
          <w:color w:val="000000"/>
          <w:szCs w:val="21"/>
        </w:rPr>
      </w:pPr>
    </w:p>
    <w:p w14:paraId="4E236208">
      <w:pPr>
        <w:ind w:firstLine="210"/>
        <w:rPr>
          <w:rFonts w:hint="eastAsia" w:ascii="仿宋" w:hAnsi="仿宋" w:eastAsia="仿宋" w:cs="仿宋"/>
          <w:color w:val="000000"/>
          <w:szCs w:val="21"/>
        </w:rPr>
      </w:pPr>
    </w:p>
    <w:p w14:paraId="5718FF42">
      <w:pPr>
        <w:ind w:firstLine="210"/>
        <w:rPr>
          <w:rFonts w:hint="eastAsia" w:ascii="仿宋" w:hAnsi="仿宋" w:eastAsia="仿宋" w:cs="仿宋"/>
          <w:color w:val="000000"/>
          <w:szCs w:val="21"/>
        </w:rPr>
      </w:pPr>
    </w:p>
    <w:p w14:paraId="5897C4D3">
      <w:pPr>
        <w:ind w:firstLine="210"/>
        <w:rPr>
          <w:rFonts w:hint="eastAsia" w:ascii="仿宋" w:hAnsi="仿宋" w:eastAsia="仿宋" w:cs="仿宋"/>
          <w:color w:val="000000"/>
          <w:szCs w:val="21"/>
        </w:rPr>
      </w:pPr>
    </w:p>
    <w:p w14:paraId="7719B921">
      <w:pPr>
        <w:ind w:firstLine="210"/>
        <w:rPr>
          <w:rFonts w:hint="eastAsia" w:ascii="仿宋" w:hAnsi="仿宋" w:eastAsia="仿宋" w:cs="仿宋"/>
          <w:color w:val="000000"/>
          <w:szCs w:val="21"/>
        </w:rPr>
      </w:pPr>
    </w:p>
    <w:p w14:paraId="1344EE5E">
      <w:pPr>
        <w:ind w:firstLine="210"/>
        <w:rPr>
          <w:rFonts w:hint="eastAsia" w:ascii="仿宋" w:hAnsi="仿宋" w:eastAsia="仿宋" w:cs="仿宋"/>
          <w:color w:val="000000"/>
          <w:szCs w:val="21"/>
        </w:rPr>
      </w:pPr>
    </w:p>
    <w:p w14:paraId="77E4BEBB">
      <w:pPr>
        <w:pStyle w:val="377"/>
        <w:outlineLvl w:val="1"/>
        <w:rPr>
          <w:rFonts w:hint="eastAsia" w:ascii="仿宋" w:hAnsi="仿宋" w:eastAsia="仿宋" w:cs="仿宋"/>
          <w:b/>
          <w:bCs/>
          <w:color w:val="000000"/>
          <w:szCs w:val="32"/>
          <w:lang w:val="en-US" w:eastAsia="zh-CN"/>
        </w:rPr>
      </w:pPr>
    </w:p>
    <w:p w14:paraId="0EC0253D">
      <w:pPr>
        <w:pStyle w:val="377"/>
        <w:outlineLvl w:val="1"/>
        <w:rPr>
          <w:rFonts w:hint="eastAsia" w:ascii="仿宋" w:hAnsi="仿宋" w:eastAsia="仿宋" w:cs="仿宋"/>
          <w:b/>
          <w:bCs/>
          <w:color w:val="000000"/>
          <w:szCs w:val="32"/>
          <w:lang w:val="en-US" w:eastAsia="zh-CN"/>
        </w:rPr>
      </w:pPr>
    </w:p>
    <w:p w14:paraId="59E89591">
      <w:pPr>
        <w:pStyle w:val="377"/>
        <w:outlineLvl w:val="1"/>
        <w:rPr>
          <w:rFonts w:hint="eastAsia" w:ascii="仿宋" w:hAnsi="仿宋" w:eastAsia="仿宋" w:cs="仿宋"/>
          <w:b/>
          <w:bCs/>
          <w:color w:val="000000"/>
          <w:szCs w:val="32"/>
          <w:lang w:val="en-US" w:eastAsia="zh-CN"/>
        </w:rPr>
      </w:pPr>
    </w:p>
    <w:p w14:paraId="4239916C">
      <w:pPr>
        <w:pStyle w:val="377"/>
        <w:outlineLvl w:val="1"/>
        <w:rPr>
          <w:rFonts w:hint="eastAsia" w:ascii="仿宋" w:hAnsi="仿宋" w:eastAsia="仿宋" w:cs="仿宋"/>
          <w:b/>
          <w:bCs/>
          <w:color w:val="000000"/>
          <w:szCs w:val="32"/>
          <w:lang w:val="en-US" w:eastAsia="zh-CN"/>
        </w:rPr>
      </w:pPr>
    </w:p>
    <w:p w14:paraId="1199972F">
      <w:pPr>
        <w:pStyle w:val="377"/>
        <w:outlineLvl w:val="1"/>
        <w:rPr>
          <w:rFonts w:hint="eastAsia" w:ascii="仿宋" w:hAnsi="仿宋" w:eastAsia="仿宋" w:cs="仿宋"/>
          <w:b/>
          <w:bCs/>
          <w:color w:val="000000"/>
          <w:szCs w:val="32"/>
          <w:lang w:val="en-US" w:eastAsia="zh-CN"/>
        </w:rPr>
      </w:pPr>
    </w:p>
    <w:p w14:paraId="3F21118A">
      <w:pPr>
        <w:pStyle w:val="377"/>
        <w:outlineLvl w:val="1"/>
        <w:rPr>
          <w:rFonts w:hint="eastAsia" w:ascii="仿宋" w:hAnsi="仿宋" w:eastAsia="仿宋" w:cs="仿宋"/>
          <w:b/>
          <w:bCs/>
          <w:color w:val="000000"/>
          <w:szCs w:val="32"/>
          <w:lang w:val="en-US" w:eastAsia="zh-CN"/>
        </w:rPr>
      </w:pPr>
    </w:p>
    <w:p w14:paraId="76C66CC4">
      <w:pPr>
        <w:pStyle w:val="377"/>
        <w:outlineLvl w:val="1"/>
        <w:rPr>
          <w:rFonts w:hint="eastAsia" w:ascii="仿宋" w:hAnsi="仿宋" w:eastAsia="仿宋" w:cs="仿宋"/>
          <w:b/>
          <w:bCs/>
          <w:color w:val="000000"/>
          <w:szCs w:val="32"/>
          <w:lang w:val="en-US" w:eastAsia="zh-CN"/>
        </w:rPr>
      </w:pPr>
    </w:p>
    <w:p w14:paraId="6052AABB">
      <w:pPr>
        <w:pStyle w:val="377"/>
        <w:outlineLvl w:val="1"/>
        <w:rPr>
          <w:rFonts w:hint="eastAsia" w:ascii="仿宋" w:hAnsi="仿宋" w:eastAsia="仿宋" w:cs="仿宋"/>
          <w:b/>
          <w:bCs/>
          <w:color w:val="000000"/>
          <w:szCs w:val="32"/>
          <w:lang w:val="en-US" w:eastAsia="zh-CN"/>
        </w:rPr>
      </w:pPr>
    </w:p>
    <w:p w14:paraId="78E26BEB">
      <w:pPr>
        <w:pStyle w:val="377"/>
        <w:outlineLvl w:val="1"/>
        <w:rPr>
          <w:rFonts w:hint="eastAsia" w:ascii="仿宋" w:hAnsi="仿宋" w:eastAsia="仿宋" w:cs="仿宋"/>
          <w:b/>
          <w:bCs/>
          <w:color w:val="000000"/>
          <w:szCs w:val="32"/>
          <w:lang w:val="en-US" w:eastAsia="zh-CN"/>
        </w:rPr>
      </w:pPr>
    </w:p>
    <w:p w14:paraId="60C2CBFA">
      <w:pPr>
        <w:pStyle w:val="377"/>
        <w:outlineLvl w:val="1"/>
        <w:rPr>
          <w:rFonts w:hint="eastAsia" w:ascii="仿宋" w:hAnsi="仿宋" w:eastAsia="仿宋" w:cs="仿宋"/>
          <w:b w:val="0"/>
          <w:bCs w:val="0"/>
          <w:color w:val="000000"/>
        </w:rPr>
      </w:pPr>
    </w:p>
    <w:p w14:paraId="4A72651D">
      <w:pPr>
        <w:pStyle w:val="377"/>
        <w:outlineLvl w:val="1"/>
        <w:rPr>
          <w:rFonts w:hint="eastAsia" w:ascii="仿宋" w:hAnsi="仿宋" w:eastAsia="仿宋" w:cs="仿宋"/>
          <w:b/>
          <w:bCs/>
          <w:color w:val="000000"/>
          <w:highlight w:val="none"/>
        </w:rPr>
      </w:pPr>
      <w:r>
        <w:rPr>
          <w:rFonts w:hint="eastAsia" w:ascii="仿宋" w:hAnsi="仿宋" w:eastAsia="仿宋" w:cs="仿宋"/>
          <w:b/>
          <w:bCs/>
          <w:color w:val="000000"/>
          <w:szCs w:val="32"/>
          <w:lang w:val="en-US" w:eastAsia="zh-CN"/>
        </w:rPr>
        <w:t>七</w:t>
      </w:r>
      <w:r>
        <w:rPr>
          <w:rFonts w:hint="eastAsia" w:ascii="仿宋" w:hAnsi="仿宋" w:eastAsia="仿宋" w:cs="仿宋"/>
          <w:b/>
          <w:bCs/>
          <w:color w:val="000000"/>
          <w:szCs w:val="32"/>
        </w:rPr>
        <w:t>、企业业绩</w:t>
      </w:r>
    </w:p>
    <w:p w14:paraId="244B7F5D">
      <w:pPr>
        <w:pStyle w:val="38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类似项目业绩一览表</w:t>
      </w:r>
    </w:p>
    <w:tbl>
      <w:tblPr>
        <w:tblStyle w:val="40"/>
        <w:tblW w:w="9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6"/>
        <w:gridCol w:w="3170"/>
        <w:gridCol w:w="1610"/>
        <w:gridCol w:w="1759"/>
        <w:gridCol w:w="1080"/>
        <w:gridCol w:w="1080"/>
      </w:tblGrid>
      <w:tr w14:paraId="45C3E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616" w:type="dxa"/>
            <w:noWrap w:val="0"/>
            <w:vAlign w:val="center"/>
          </w:tcPr>
          <w:p w14:paraId="0EC7C09A">
            <w:pPr>
              <w:pStyle w:val="386"/>
              <w:keepNext w:val="0"/>
              <w:keepLines w:val="0"/>
              <w:pageBreakBefore w:val="0"/>
              <w:widowControl w:val="0"/>
              <w:spacing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序号</w:t>
            </w:r>
          </w:p>
        </w:tc>
        <w:tc>
          <w:tcPr>
            <w:tcW w:w="3170" w:type="dxa"/>
            <w:noWrap w:val="0"/>
            <w:vAlign w:val="center"/>
          </w:tcPr>
          <w:p w14:paraId="5FEC5C46">
            <w:pPr>
              <w:pStyle w:val="386"/>
              <w:keepNext w:val="0"/>
              <w:keepLines w:val="0"/>
              <w:pageBreakBefore w:val="0"/>
              <w:widowControl w:val="0"/>
              <w:spacing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项目名称</w:t>
            </w:r>
          </w:p>
        </w:tc>
        <w:tc>
          <w:tcPr>
            <w:tcW w:w="1610" w:type="dxa"/>
            <w:noWrap w:val="0"/>
            <w:vAlign w:val="center"/>
          </w:tcPr>
          <w:p w14:paraId="03409F92">
            <w:pPr>
              <w:pStyle w:val="386"/>
              <w:keepNext w:val="0"/>
              <w:keepLines w:val="0"/>
              <w:pageBreakBefore w:val="0"/>
              <w:widowControl w:val="0"/>
              <w:spacing w:line="3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采购单位</w:t>
            </w:r>
          </w:p>
        </w:tc>
        <w:tc>
          <w:tcPr>
            <w:tcW w:w="1759" w:type="dxa"/>
            <w:tcBorders>
              <w:right w:val="single" w:color="auto" w:sz="4" w:space="0"/>
            </w:tcBorders>
            <w:noWrap w:val="0"/>
            <w:vAlign w:val="center"/>
          </w:tcPr>
          <w:p w14:paraId="756B4A35">
            <w:pPr>
              <w:pStyle w:val="386"/>
              <w:keepNext w:val="0"/>
              <w:keepLines w:val="0"/>
              <w:pageBreakBefore w:val="0"/>
              <w:widowControl w:val="0"/>
              <w:spacing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服务主要内容</w:t>
            </w:r>
          </w:p>
        </w:tc>
        <w:tc>
          <w:tcPr>
            <w:tcW w:w="1080" w:type="dxa"/>
            <w:tcBorders>
              <w:left w:val="single" w:color="auto" w:sz="4" w:space="0"/>
            </w:tcBorders>
            <w:noWrap w:val="0"/>
            <w:vAlign w:val="center"/>
          </w:tcPr>
          <w:p w14:paraId="181F0BCD">
            <w:pPr>
              <w:pStyle w:val="386"/>
              <w:keepNext w:val="0"/>
              <w:keepLines w:val="0"/>
              <w:pageBreakBefore w:val="0"/>
              <w:widowControl w:val="0"/>
              <w:spacing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合同签订时间</w:t>
            </w:r>
          </w:p>
        </w:tc>
        <w:tc>
          <w:tcPr>
            <w:tcW w:w="1080" w:type="dxa"/>
            <w:tcBorders>
              <w:left w:val="single" w:color="auto" w:sz="4" w:space="0"/>
            </w:tcBorders>
            <w:noWrap w:val="0"/>
            <w:vAlign w:val="center"/>
          </w:tcPr>
          <w:p w14:paraId="2D7202A0">
            <w:pPr>
              <w:pStyle w:val="386"/>
              <w:keepNext w:val="0"/>
              <w:keepLines w:val="0"/>
              <w:pageBreakBefore w:val="0"/>
              <w:widowControl w:val="0"/>
              <w:spacing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甲方</w:t>
            </w:r>
          </w:p>
          <w:p w14:paraId="334F956F">
            <w:pPr>
              <w:pStyle w:val="386"/>
              <w:keepNext w:val="0"/>
              <w:keepLines w:val="0"/>
              <w:pageBreakBefore w:val="0"/>
              <w:widowControl w:val="0"/>
              <w:spacing w:line="3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履约评价</w:t>
            </w:r>
            <w:r>
              <w:rPr>
                <w:rFonts w:hint="eastAsia" w:ascii="仿宋" w:hAnsi="仿宋" w:eastAsia="仿宋" w:cs="仿宋"/>
                <w:color w:val="000000"/>
                <w:sz w:val="28"/>
                <w:szCs w:val="28"/>
                <w:lang w:val="en-US" w:eastAsia="zh-CN"/>
              </w:rPr>
              <w:t>结果</w:t>
            </w:r>
          </w:p>
        </w:tc>
      </w:tr>
      <w:tr w14:paraId="7ECAA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616" w:type="dxa"/>
            <w:noWrap w:val="0"/>
          </w:tcPr>
          <w:p w14:paraId="254965E1">
            <w:pPr>
              <w:pStyle w:val="386"/>
              <w:spacing w:line="560" w:lineRule="exact"/>
              <w:jc w:val="center"/>
              <w:rPr>
                <w:rFonts w:hint="eastAsia" w:ascii="仿宋" w:hAnsi="仿宋" w:eastAsia="仿宋" w:cs="仿宋"/>
                <w:color w:val="000000"/>
                <w:sz w:val="28"/>
              </w:rPr>
            </w:pPr>
          </w:p>
        </w:tc>
        <w:tc>
          <w:tcPr>
            <w:tcW w:w="3170" w:type="dxa"/>
            <w:noWrap w:val="0"/>
            <w:vAlign w:val="center"/>
          </w:tcPr>
          <w:p w14:paraId="5A416D9A">
            <w:pPr>
              <w:pStyle w:val="386"/>
              <w:spacing w:line="560" w:lineRule="exact"/>
              <w:jc w:val="center"/>
              <w:rPr>
                <w:rFonts w:hint="eastAsia" w:ascii="仿宋" w:hAnsi="仿宋" w:eastAsia="仿宋" w:cs="仿宋"/>
                <w:color w:val="000000"/>
                <w:sz w:val="28"/>
              </w:rPr>
            </w:pPr>
          </w:p>
        </w:tc>
        <w:tc>
          <w:tcPr>
            <w:tcW w:w="1610" w:type="dxa"/>
            <w:noWrap w:val="0"/>
            <w:vAlign w:val="center"/>
          </w:tcPr>
          <w:p w14:paraId="6E9EF136">
            <w:pPr>
              <w:pStyle w:val="386"/>
              <w:spacing w:line="560" w:lineRule="exact"/>
              <w:jc w:val="center"/>
              <w:rPr>
                <w:rFonts w:hint="eastAsia" w:ascii="仿宋" w:hAnsi="仿宋" w:eastAsia="仿宋" w:cs="仿宋"/>
                <w:color w:val="000000"/>
                <w:sz w:val="28"/>
              </w:rPr>
            </w:pPr>
          </w:p>
        </w:tc>
        <w:tc>
          <w:tcPr>
            <w:tcW w:w="1759" w:type="dxa"/>
            <w:tcBorders>
              <w:right w:val="single" w:color="auto" w:sz="4" w:space="0"/>
            </w:tcBorders>
            <w:noWrap w:val="0"/>
            <w:vAlign w:val="center"/>
          </w:tcPr>
          <w:p w14:paraId="2175CCFF">
            <w:pPr>
              <w:pStyle w:val="386"/>
              <w:spacing w:line="560" w:lineRule="exact"/>
              <w:jc w:val="center"/>
              <w:rPr>
                <w:rFonts w:hint="eastAsia" w:ascii="仿宋" w:hAnsi="仿宋" w:eastAsia="仿宋" w:cs="仿宋"/>
                <w:color w:val="000000"/>
                <w:sz w:val="28"/>
              </w:rPr>
            </w:pPr>
          </w:p>
        </w:tc>
        <w:tc>
          <w:tcPr>
            <w:tcW w:w="1080" w:type="dxa"/>
            <w:tcBorders>
              <w:left w:val="single" w:color="auto" w:sz="4" w:space="0"/>
            </w:tcBorders>
            <w:noWrap w:val="0"/>
            <w:vAlign w:val="center"/>
          </w:tcPr>
          <w:p w14:paraId="23FB54E1">
            <w:pPr>
              <w:pStyle w:val="386"/>
              <w:spacing w:line="560" w:lineRule="exact"/>
              <w:jc w:val="center"/>
              <w:rPr>
                <w:rFonts w:hint="eastAsia" w:ascii="仿宋" w:hAnsi="仿宋" w:eastAsia="仿宋" w:cs="仿宋"/>
                <w:color w:val="000000"/>
                <w:sz w:val="28"/>
              </w:rPr>
            </w:pPr>
          </w:p>
        </w:tc>
        <w:tc>
          <w:tcPr>
            <w:tcW w:w="1080" w:type="dxa"/>
            <w:tcBorders>
              <w:left w:val="single" w:color="auto" w:sz="4" w:space="0"/>
            </w:tcBorders>
            <w:noWrap w:val="0"/>
            <w:vAlign w:val="center"/>
          </w:tcPr>
          <w:p w14:paraId="457837D2">
            <w:pPr>
              <w:pStyle w:val="386"/>
              <w:spacing w:line="560" w:lineRule="exact"/>
              <w:jc w:val="center"/>
              <w:rPr>
                <w:rFonts w:hint="eastAsia" w:ascii="仿宋" w:hAnsi="仿宋" w:eastAsia="仿宋" w:cs="仿宋"/>
                <w:color w:val="000000"/>
                <w:sz w:val="28"/>
              </w:rPr>
            </w:pPr>
          </w:p>
        </w:tc>
      </w:tr>
      <w:tr w14:paraId="27469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616" w:type="dxa"/>
            <w:noWrap w:val="0"/>
          </w:tcPr>
          <w:p w14:paraId="716814FE">
            <w:pPr>
              <w:pStyle w:val="386"/>
              <w:spacing w:line="560" w:lineRule="exact"/>
              <w:jc w:val="center"/>
              <w:rPr>
                <w:rFonts w:hint="eastAsia" w:ascii="仿宋" w:hAnsi="仿宋" w:eastAsia="仿宋" w:cs="仿宋"/>
                <w:color w:val="000000"/>
                <w:sz w:val="28"/>
              </w:rPr>
            </w:pPr>
          </w:p>
        </w:tc>
        <w:tc>
          <w:tcPr>
            <w:tcW w:w="3170" w:type="dxa"/>
            <w:noWrap w:val="0"/>
            <w:vAlign w:val="center"/>
          </w:tcPr>
          <w:p w14:paraId="73A5773F">
            <w:pPr>
              <w:pStyle w:val="386"/>
              <w:spacing w:line="560" w:lineRule="exact"/>
              <w:jc w:val="center"/>
              <w:rPr>
                <w:rFonts w:hint="eastAsia" w:ascii="仿宋" w:hAnsi="仿宋" w:eastAsia="仿宋" w:cs="仿宋"/>
                <w:color w:val="000000"/>
                <w:sz w:val="28"/>
              </w:rPr>
            </w:pPr>
          </w:p>
        </w:tc>
        <w:tc>
          <w:tcPr>
            <w:tcW w:w="1610" w:type="dxa"/>
            <w:noWrap w:val="0"/>
            <w:vAlign w:val="center"/>
          </w:tcPr>
          <w:p w14:paraId="3A83058B">
            <w:pPr>
              <w:pStyle w:val="386"/>
              <w:spacing w:line="560" w:lineRule="exact"/>
              <w:jc w:val="center"/>
              <w:rPr>
                <w:rFonts w:hint="eastAsia" w:ascii="仿宋" w:hAnsi="仿宋" w:eastAsia="仿宋" w:cs="仿宋"/>
                <w:color w:val="000000"/>
                <w:sz w:val="28"/>
              </w:rPr>
            </w:pPr>
          </w:p>
        </w:tc>
        <w:tc>
          <w:tcPr>
            <w:tcW w:w="1759" w:type="dxa"/>
            <w:tcBorders>
              <w:right w:val="single" w:color="auto" w:sz="4" w:space="0"/>
            </w:tcBorders>
            <w:noWrap w:val="0"/>
            <w:vAlign w:val="center"/>
          </w:tcPr>
          <w:p w14:paraId="21E4040C">
            <w:pPr>
              <w:pStyle w:val="386"/>
              <w:spacing w:line="560" w:lineRule="exact"/>
              <w:jc w:val="center"/>
              <w:rPr>
                <w:rFonts w:hint="eastAsia" w:ascii="仿宋" w:hAnsi="仿宋" w:eastAsia="仿宋" w:cs="仿宋"/>
                <w:color w:val="000000"/>
                <w:sz w:val="28"/>
              </w:rPr>
            </w:pPr>
          </w:p>
        </w:tc>
        <w:tc>
          <w:tcPr>
            <w:tcW w:w="1080" w:type="dxa"/>
            <w:tcBorders>
              <w:left w:val="single" w:color="auto" w:sz="4" w:space="0"/>
            </w:tcBorders>
            <w:noWrap w:val="0"/>
            <w:vAlign w:val="center"/>
          </w:tcPr>
          <w:p w14:paraId="1BF5149D">
            <w:pPr>
              <w:pStyle w:val="386"/>
              <w:spacing w:line="560" w:lineRule="exact"/>
              <w:jc w:val="center"/>
              <w:rPr>
                <w:rFonts w:hint="eastAsia" w:ascii="仿宋" w:hAnsi="仿宋" w:eastAsia="仿宋" w:cs="仿宋"/>
                <w:color w:val="000000"/>
                <w:sz w:val="28"/>
              </w:rPr>
            </w:pPr>
          </w:p>
        </w:tc>
        <w:tc>
          <w:tcPr>
            <w:tcW w:w="1080" w:type="dxa"/>
            <w:tcBorders>
              <w:left w:val="single" w:color="auto" w:sz="4" w:space="0"/>
            </w:tcBorders>
            <w:noWrap w:val="0"/>
            <w:vAlign w:val="center"/>
          </w:tcPr>
          <w:p w14:paraId="4BE4CE75">
            <w:pPr>
              <w:pStyle w:val="386"/>
              <w:spacing w:line="560" w:lineRule="exact"/>
              <w:jc w:val="center"/>
              <w:rPr>
                <w:rFonts w:hint="eastAsia" w:ascii="仿宋" w:hAnsi="仿宋" w:eastAsia="仿宋" w:cs="仿宋"/>
                <w:color w:val="000000"/>
                <w:sz w:val="28"/>
              </w:rPr>
            </w:pPr>
          </w:p>
        </w:tc>
      </w:tr>
      <w:tr w14:paraId="156D1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616" w:type="dxa"/>
            <w:noWrap w:val="0"/>
          </w:tcPr>
          <w:p w14:paraId="779650F8">
            <w:pPr>
              <w:pStyle w:val="386"/>
              <w:spacing w:line="560" w:lineRule="exact"/>
              <w:jc w:val="center"/>
              <w:rPr>
                <w:rFonts w:hint="eastAsia" w:ascii="仿宋" w:hAnsi="仿宋" w:eastAsia="仿宋" w:cs="仿宋"/>
                <w:color w:val="000000"/>
                <w:sz w:val="28"/>
              </w:rPr>
            </w:pPr>
          </w:p>
        </w:tc>
        <w:tc>
          <w:tcPr>
            <w:tcW w:w="3170" w:type="dxa"/>
            <w:noWrap w:val="0"/>
            <w:vAlign w:val="center"/>
          </w:tcPr>
          <w:p w14:paraId="62C958FB">
            <w:pPr>
              <w:pStyle w:val="386"/>
              <w:spacing w:line="560" w:lineRule="exact"/>
              <w:jc w:val="center"/>
              <w:rPr>
                <w:rFonts w:hint="eastAsia" w:ascii="仿宋" w:hAnsi="仿宋" w:eastAsia="仿宋" w:cs="仿宋"/>
                <w:color w:val="000000"/>
                <w:sz w:val="28"/>
              </w:rPr>
            </w:pPr>
          </w:p>
        </w:tc>
        <w:tc>
          <w:tcPr>
            <w:tcW w:w="1610" w:type="dxa"/>
            <w:noWrap w:val="0"/>
            <w:vAlign w:val="center"/>
          </w:tcPr>
          <w:p w14:paraId="2CC8D502">
            <w:pPr>
              <w:pStyle w:val="386"/>
              <w:spacing w:line="560" w:lineRule="exact"/>
              <w:jc w:val="center"/>
              <w:rPr>
                <w:rFonts w:hint="eastAsia" w:ascii="仿宋" w:hAnsi="仿宋" w:eastAsia="仿宋" w:cs="仿宋"/>
                <w:color w:val="000000"/>
                <w:sz w:val="28"/>
              </w:rPr>
            </w:pPr>
          </w:p>
        </w:tc>
        <w:tc>
          <w:tcPr>
            <w:tcW w:w="1759" w:type="dxa"/>
            <w:tcBorders>
              <w:right w:val="single" w:color="auto" w:sz="4" w:space="0"/>
            </w:tcBorders>
            <w:noWrap w:val="0"/>
            <w:vAlign w:val="center"/>
          </w:tcPr>
          <w:p w14:paraId="0676BED0">
            <w:pPr>
              <w:pStyle w:val="386"/>
              <w:spacing w:line="560" w:lineRule="exact"/>
              <w:jc w:val="center"/>
              <w:rPr>
                <w:rFonts w:hint="eastAsia" w:ascii="仿宋" w:hAnsi="仿宋" w:eastAsia="仿宋" w:cs="仿宋"/>
                <w:color w:val="000000"/>
                <w:sz w:val="28"/>
              </w:rPr>
            </w:pPr>
          </w:p>
        </w:tc>
        <w:tc>
          <w:tcPr>
            <w:tcW w:w="1080" w:type="dxa"/>
            <w:tcBorders>
              <w:left w:val="single" w:color="auto" w:sz="4" w:space="0"/>
            </w:tcBorders>
            <w:noWrap w:val="0"/>
            <w:vAlign w:val="center"/>
          </w:tcPr>
          <w:p w14:paraId="4FA9A733">
            <w:pPr>
              <w:pStyle w:val="386"/>
              <w:spacing w:line="560" w:lineRule="exact"/>
              <w:jc w:val="center"/>
              <w:rPr>
                <w:rFonts w:hint="eastAsia" w:ascii="仿宋" w:hAnsi="仿宋" w:eastAsia="仿宋" w:cs="仿宋"/>
                <w:color w:val="000000"/>
                <w:sz w:val="28"/>
              </w:rPr>
            </w:pPr>
          </w:p>
        </w:tc>
        <w:tc>
          <w:tcPr>
            <w:tcW w:w="1080" w:type="dxa"/>
            <w:tcBorders>
              <w:left w:val="single" w:color="auto" w:sz="4" w:space="0"/>
            </w:tcBorders>
            <w:noWrap w:val="0"/>
            <w:vAlign w:val="center"/>
          </w:tcPr>
          <w:p w14:paraId="355CE60F">
            <w:pPr>
              <w:pStyle w:val="386"/>
              <w:spacing w:line="560" w:lineRule="exact"/>
              <w:jc w:val="center"/>
              <w:rPr>
                <w:rFonts w:hint="eastAsia" w:ascii="仿宋" w:hAnsi="仿宋" w:eastAsia="仿宋" w:cs="仿宋"/>
                <w:color w:val="000000"/>
                <w:sz w:val="28"/>
              </w:rPr>
            </w:pPr>
          </w:p>
        </w:tc>
      </w:tr>
      <w:tr w14:paraId="5CF90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616" w:type="dxa"/>
            <w:noWrap w:val="0"/>
          </w:tcPr>
          <w:p w14:paraId="09E40397">
            <w:pPr>
              <w:pStyle w:val="386"/>
              <w:spacing w:line="560" w:lineRule="exact"/>
              <w:jc w:val="center"/>
              <w:rPr>
                <w:rFonts w:hint="eastAsia" w:ascii="仿宋" w:hAnsi="仿宋" w:eastAsia="仿宋" w:cs="仿宋"/>
                <w:color w:val="000000"/>
                <w:sz w:val="28"/>
              </w:rPr>
            </w:pPr>
          </w:p>
        </w:tc>
        <w:tc>
          <w:tcPr>
            <w:tcW w:w="3170" w:type="dxa"/>
            <w:noWrap w:val="0"/>
            <w:vAlign w:val="center"/>
          </w:tcPr>
          <w:p w14:paraId="14BDA51E">
            <w:pPr>
              <w:pStyle w:val="386"/>
              <w:spacing w:line="560" w:lineRule="exact"/>
              <w:jc w:val="center"/>
              <w:rPr>
                <w:rFonts w:hint="eastAsia" w:ascii="仿宋" w:hAnsi="仿宋" w:eastAsia="仿宋" w:cs="仿宋"/>
                <w:color w:val="000000"/>
                <w:sz w:val="28"/>
              </w:rPr>
            </w:pPr>
          </w:p>
        </w:tc>
        <w:tc>
          <w:tcPr>
            <w:tcW w:w="1610" w:type="dxa"/>
            <w:noWrap w:val="0"/>
            <w:vAlign w:val="center"/>
          </w:tcPr>
          <w:p w14:paraId="3CD0C37C">
            <w:pPr>
              <w:pStyle w:val="386"/>
              <w:spacing w:line="560" w:lineRule="exact"/>
              <w:jc w:val="center"/>
              <w:rPr>
                <w:rFonts w:hint="eastAsia" w:ascii="仿宋" w:hAnsi="仿宋" w:eastAsia="仿宋" w:cs="仿宋"/>
                <w:color w:val="000000"/>
                <w:sz w:val="28"/>
              </w:rPr>
            </w:pPr>
          </w:p>
        </w:tc>
        <w:tc>
          <w:tcPr>
            <w:tcW w:w="1759" w:type="dxa"/>
            <w:tcBorders>
              <w:right w:val="single" w:color="auto" w:sz="4" w:space="0"/>
            </w:tcBorders>
            <w:noWrap w:val="0"/>
            <w:vAlign w:val="center"/>
          </w:tcPr>
          <w:p w14:paraId="2ECC0E68">
            <w:pPr>
              <w:pStyle w:val="386"/>
              <w:spacing w:line="560" w:lineRule="exact"/>
              <w:jc w:val="center"/>
              <w:rPr>
                <w:rFonts w:hint="eastAsia" w:ascii="仿宋" w:hAnsi="仿宋" w:eastAsia="仿宋" w:cs="仿宋"/>
                <w:color w:val="000000"/>
                <w:sz w:val="28"/>
              </w:rPr>
            </w:pPr>
          </w:p>
        </w:tc>
        <w:tc>
          <w:tcPr>
            <w:tcW w:w="1080" w:type="dxa"/>
            <w:tcBorders>
              <w:left w:val="single" w:color="auto" w:sz="4" w:space="0"/>
            </w:tcBorders>
            <w:noWrap w:val="0"/>
            <w:vAlign w:val="center"/>
          </w:tcPr>
          <w:p w14:paraId="7C318F62">
            <w:pPr>
              <w:pStyle w:val="386"/>
              <w:spacing w:line="560" w:lineRule="exact"/>
              <w:jc w:val="center"/>
              <w:rPr>
                <w:rFonts w:hint="eastAsia" w:ascii="仿宋" w:hAnsi="仿宋" w:eastAsia="仿宋" w:cs="仿宋"/>
                <w:color w:val="000000"/>
                <w:sz w:val="28"/>
              </w:rPr>
            </w:pPr>
          </w:p>
        </w:tc>
        <w:tc>
          <w:tcPr>
            <w:tcW w:w="1080" w:type="dxa"/>
            <w:tcBorders>
              <w:left w:val="single" w:color="auto" w:sz="4" w:space="0"/>
            </w:tcBorders>
            <w:noWrap w:val="0"/>
            <w:vAlign w:val="center"/>
          </w:tcPr>
          <w:p w14:paraId="769D2D14">
            <w:pPr>
              <w:pStyle w:val="386"/>
              <w:spacing w:line="560" w:lineRule="exact"/>
              <w:jc w:val="center"/>
              <w:rPr>
                <w:rFonts w:hint="eastAsia" w:ascii="仿宋" w:hAnsi="仿宋" w:eastAsia="仿宋" w:cs="仿宋"/>
                <w:color w:val="000000"/>
                <w:sz w:val="28"/>
              </w:rPr>
            </w:pPr>
          </w:p>
        </w:tc>
      </w:tr>
    </w:tbl>
    <w:p w14:paraId="27480BE9">
      <w:pPr>
        <w:pStyle w:val="385"/>
        <w:rPr>
          <w:rFonts w:hint="eastAsia" w:ascii="仿宋" w:hAnsi="仿宋" w:eastAsia="仿宋" w:cs="仿宋"/>
          <w:bCs/>
          <w:color w:val="000000"/>
        </w:rPr>
      </w:pPr>
      <w:r>
        <w:rPr>
          <w:rFonts w:hint="eastAsia" w:ascii="仿宋" w:hAnsi="仿宋" w:eastAsia="仿宋" w:cs="仿宋"/>
          <w:bCs/>
          <w:color w:val="000000"/>
          <w:sz w:val="24"/>
        </w:rPr>
        <w:t>注：请填写此表，并按要求上传业绩资料电子件。</w:t>
      </w:r>
    </w:p>
    <w:p w14:paraId="64BCF358">
      <w:pPr>
        <w:pStyle w:val="165"/>
        <w:rPr>
          <w:rFonts w:hint="eastAsia" w:ascii="仿宋" w:hAnsi="仿宋" w:eastAsia="仿宋" w:cs="仿宋"/>
          <w:color w:val="000080"/>
          <w:sz w:val="20"/>
          <w:highlight w:val="white"/>
        </w:rPr>
      </w:pPr>
      <w:r>
        <w:rPr>
          <w:rFonts w:hint="eastAsia" w:ascii="仿宋" w:hAnsi="仿宋" w:eastAsia="仿宋" w:cs="仿宋"/>
          <w:bCs/>
          <w:color w:val="000000"/>
        </w:rPr>
        <w:br w:type="page" w:clear="all"/>
      </w:r>
    </w:p>
    <w:p w14:paraId="2562E1C4">
      <w:pPr>
        <w:pStyle w:val="375"/>
        <w:outlineLvl w:val="1"/>
        <w:rPr>
          <w:rFonts w:hint="eastAsia" w:ascii="仿宋" w:hAnsi="仿宋" w:eastAsia="仿宋" w:cs="仿宋"/>
          <w:b/>
          <w:bCs w:val="0"/>
        </w:rPr>
      </w:pPr>
      <w:bookmarkStart w:id="156" w:name="_Toc256000030"/>
      <w:r>
        <w:rPr>
          <w:rFonts w:hint="eastAsia" w:ascii="仿宋" w:hAnsi="仿宋" w:eastAsia="仿宋" w:cs="仿宋"/>
          <w:b/>
          <w:bCs w:val="0"/>
          <w:lang w:val="en-US" w:eastAsia="zh-CN"/>
        </w:rPr>
        <w:t>八</w:t>
      </w:r>
      <w:r>
        <w:rPr>
          <w:rFonts w:hint="eastAsia" w:ascii="仿宋" w:hAnsi="仿宋" w:eastAsia="仿宋" w:cs="仿宋"/>
          <w:b/>
          <w:bCs w:val="0"/>
        </w:rPr>
        <w:t>、</w:t>
      </w:r>
      <w:bookmarkEnd w:id="156"/>
      <w:r>
        <w:rPr>
          <w:rFonts w:hint="eastAsia" w:ascii="仿宋" w:hAnsi="仿宋" w:eastAsia="仿宋" w:cs="仿宋"/>
          <w:b/>
          <w:bCs w:val="0"/>
        </w:rPr>
        <w:t>人员配备要求承诺函</w:t>
      </w:r>
    </w:p>
    <w:p w14:paraId="54E56040">
      <w:pPr>
        <w:pStyle w:val="406"/>
        <w:jc w:val="center"/>
        <w:rPr>
          <w:rFonts w:hint="eastAsia" w:ascii="仿宋" w:hAnsi="仿宋" w:eastAsia="仿宋" w:cs="仿宋"/>
          <w:b/>
          <w:sz w:val="30"/>
          <w:szCs w:val="30"/>
        </w:rPr>
      </w:pPr>
    </w:p>
    <w:p w14:paraId="03013847">
      <w:pPr>
        <w:pStyle w:val="406"/>
        <w:jc w:val="center"/>
        <w:rPr>
          <w:rFonts w:hint="eastAsia" w:ascii="仿宋" w:hAnsi="仿宋" w:eastAsia="仿宋" w:cs="仿宋"/>
          <w:sz w:val="28"/>
          <w:szCs w:val="28"/>
        </w:rPr>
      </w:pPr>
      <w:r>
        <w:rPr>
          <w:rFonts w:hint="eastAsia" w:ascii="仿宋" w:hAnsi="仿宋" w:eastAsia="仿宋" w:cs="仿宋"/>
          <w:b/>
          <w:sz w:val="30"/>
          <w:szCs w:val="30"/>
        </w:rPr>
        <w:t>人员配备要求承诺函</w:t>
      </w:r>
    </w:p>
    <w:p w14:paraId="0DCDCB54">
      <w:pPr>
        <w:pStyle w:val="406"/>
        <w:spacing w:before="10" w:after="10" w:line="600" w:lineRule="exact"/>
        <w:rPr>
          <w:rFonts w:hint="eastAsia" w:ascii="仿宋" w:hAnsi="仿宋" w:eastAsia="仿宋" w:cs="仿宋"/>
          <w:color w:val="000000"/>
          <w:sz w:val="28"/>
          <w:szCs w:val="22"/>
        </w:rPr>
      </w:pPr>
    </w:p>
    <w:p w14:paraId="52BCEB06">
      <w:pPr>
        <w:pStyle w:val="406"/>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泗洪县机关事务管理中心</w:t>
      </w:r>
      <w:r>
        <w:rPr>
          <w:rFonts w:hint="eastAsia" w:ascii="仿宋" w:hAnsi="仿宋" w:eastAsia="仿宋" w:cs="仿宋"/>
          <w:sz w:val="28"/>
          <w:szCs w:val="28"/>
          <w:u w:val="single"/>
        </w:rPr>
        <w:t>：</w:t>
      </w:r>
    </w:p>
    <w:p w14:paraId="66F3D3D0">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sz w:val="28"/>
          <w:szCs w:val="28"/>
          <w:u w:val="single"/>
          <w:lang w:val="en-US" w:eastAsia="zh-CN" w:bidi="ar-SA"/>
        </w:rPr>
        <w:t xml:space="preserve"> JSZC-321324-JZCG-G2026-0012 </w:t>
      </w:r>
      <w:r>
        <w:rPr>
          <w:rFonts w:hint="eastAsia" w:ascii="仿宋" w:hAnsi="仿宋" w:eastAsia="仿宋" w:cs="仿宋"/>
          <w:color w:val="000000"/>
          <w:sz w:val="28"/>
        </w:rPr>
        <w:t>号</w:t>
      </w:r>
      <w:r>
        <w:rPr>
          <w:rFonts w:hint="eastAsia" w:ascii="仿宋" w:hAnsi="仿宋" w:eastAsia="仿宋" w:cs="仿宋"/>
          <w:sz w:val="28"/>
          <w:szCs w:val="28"/>
          <w:u w:val="single"/>
          <w:lang w:val="en-US" w:eastAsia="zh-CN" w:bidi="ar-SA"/>
        </w:rPr>
        <w:t>泗洪县政务服务中心保洁服务采购项目</w:t>
      </w:r>
      <w:r>
        <w:rPr>
          <w:rFonts w:hint="eastAsia" w:ascii="仿宋" w:hAnsi="仿宋" w:eastAsia="仿宋" w:cs="仿宋"/>
          <w:sz w:val="28"/>
          <w:szCs w:val="28"/>
        </w:rPr>
        <w:t xml:space="preserve"> 招标文件相关要求，承诺如下：针对“第四部分、采购需求-</w:t>
      </w:r>
      <w:r>
        <w:rPr>
          <w:rFonts w:hint="eastAsia" w:ascii="仿宋" w:hAnsi="仿宋" w:eastAsia="仿宋" w:cs="仿宋"/>
          <w:color w:val="000000"/>
          <w:sz w:val="28"/>
          <w:rtl w:val="0"/>
          <w:lang w:val="en-US" w:eastAsia="zh-CN"/>
        </w:rPr>
        <w:t>第三条：人员配备及职责中1、人员配备（共20人），2、日常出勤</w:t>
      </w:r>
      <w:r>
        <w:rPr>
          <w:rFonts w:hint="eastAsia" w:ascii="仿宋" w:hAnsi="仿宋" w:eastAsia="仿宋" w:cs="仿宋"/>
          <w:sz w:val="28"/>
          <w:szCs w:val="28"/>
        </w:rPr>
        <w:t>内容，我单位完全响应，如我单位中标，将按照响应内容进行履约。如我单位投标文件的响应方案优于采购需求，将按投标文件履约。</w:t>
      </w:r>
    </w:p>
    <w:p w14:paraId="7F6879E4">
      <w:pPr>
        <w:pStyle w:val="407"/>
        <w:spacing w:before="10" w:after="10" w:line="600" w:lineRule="exact"/>
        <w:ind w:firstLine="560"/>
        <w:rPr>
          <w:rFonts w:hint="eastAsia" w:ascii="仿宋" w:hAnsi="仿宋" w:eastAsia="仿宋" w:cs="仿宋"/>
          <w:sz w:val="28"/>
          <w:szCs w:val="28"/>
        </w:rPr>
      </w:pPr>
    </w:p>
    <w:p w14:paraId="79C3F102">
      <w:pPr>
        <w:pStyle w:val="407"/>
        <w:spacing w:after="200" w:line="500" w:lineRule="exact"/>
        <w:ind w:firstLine="560"/>
        <w:rPr>
          <w:rFonts w:hint="eastAsia" w:ascii="仿宋" w:hAnsi="仿宋" w:eastAsia="仿宋" w:cs="仿宋"/>
          <w:sz w:val="28"/>
          <w:szCs w:val="28"/>
        </w:rPr>
      </w:pPr>
    </w:p>
    <w:p w14:paraId="2D3A5DDF">
      <w:pPr>
        <w:pStyle w:val="407"/>
        <w:spacing w:before="10" w:after="10" w:line="600" w:lineRule="exact"/>
        <w:ind w:firstLine="560"/>
        <w:rPr>
          <w:rFonts w:hint="eastAsia" w:ascii="仿宋" w:hAnsi="仿宋" w:eastAsia="仿宋" w:cs="仿宋"/>
          <w:sz w:val="28"/>
          <w:szCs w:val="28"/>
        </w:rPr>
      </w:pPr>
    </w:p>
    <w:p w14:paraId="692D40B6">
      <w:pPr>
        <w:pStyle w:val="407"/>
        <w:spacing w:after="200" w:line="500" w:lineRule="exact"/>
        <w:rPr>
          <w:rFonts w:hint="eastAsia" w:ascii="仿宋" w:hAnsi="仿宋" w:eastAsia="仿宋" w:cs="仿宋"/>
          <w:sz w:val="28"/>
          <w:szCs w:val="28"/>
        </w:rPr>
      </w:pPr>
    </w:p>
    <w:p w14:paraId="70FADF1C">
      <w:pPr>
        <w:pBdr>
          <w:top w:val="none" w:color="000000" w:sz="0" w:space="0"/>
          <w:left w:val="none" w:color="000000" w:sz="0" w:space="0"/>
          <w:bottom w:val="none" w:color="000000" w:sz="0" w:space="0"/>
          <w:right w:val="none" w:color="000000" w:sz="0" w:space="0"/>
        </w:pBdr>
        <w:spacing w:line="500" w:lineRule="exact"/>
        <w:ind w:firstLine="4779"/>
        <w:rPr>
          <w:rFonts w:hint="eastAsia" w:ascii="仿宋" w:hAnsi="仿宋" w:eastAsia="仿宋" w:cs="仿宋"/>
          <w:b/>
          <w:sz w:val="40"/>
        </w:rPr>
      </w:pPr>
      <w:r>
        <w:rPr>
          <w:rFonts w:hint="eastAsia" w:ascii="仿宋" w:hAnsi="仿宋" w:eastAsia="仿宋" w:cs="仿宋"/>
          <w:b/>
          <w:color w:val="000000"/>
          <w:sz w:val="28"/>
        </w:rPr>
        <w:t>单位名称（盖CA电子公章）：</w:t>
      </w:r>
    </w:p>
    <w:p w14:paraId="6EF51582">
      <w:pPr>
        <w:pStyle w:val="405"/>
        <w:spacing w:after="200" w:line="220" w:lineRule="atLeast"/>
        <w:jc w:val="center"/>
        <w:rPr>
          <w:rFonts w:hint="eastAsia" w:ascii="仿宋" w:hAnsi="仿宋" w:eastAsia="仿宋" w:cs="仿宋"/>
          <w:b/>
          <w:sz w:val="40"/>
          <w:szCs w:val="22"/>
        </w:rPr>
      </w:pPr>
    </w:p>
    <w:p w14:paraId="424D0FDA">
      <w:pPr>
        <w:pStyle w:val="405"/>
        <w:spacing w:after="200" w:line="220" w:lineRule="atLeast"/>
        <w:jc w:val="center"/>
        <w:rPr>
          <w:rFonts w:hint="eastAsia" w:ascii="仿宋" w:hAnsi="仿宋" w:eastAsia="仿宋" w:cs="仿宋"/>
          <w:b/>
          <w:sz w:val="40"/>
          <w:szCs w:val="22"/>
        </w:rPr>
      </w:pPr>
    </w:p>
    <w:p w14:paraId="3EF3B038">
      <w:pPr>
        <w:pStyle w:val="405"/>
        <w:spacing w:after="200" w:line="220" w:lineRule="atLeast"/>
        <w:jc w:val="center"/>
        <w:rPr>
          <w:rFonts w:hint="eastAsia" w:ascii="仿宋" w:hAnsi="仿宋" w:eastAsia="仿宋" w:cs="仿宋"/>
          <w:b/>
          <w:sz w:val="40"/>
          <w:szCs w:val="22"/>
        </w:rPr>
      </w:pPr>
    </w:p>
    <w:p w14:paraId="14BF5FCC">
      <w:pPr>
        <w:pStyle w:val="405"/>
        <w:spacing w:after="200" w:line="220" w:lineRule="atLeast"/>
        <w:jc w:val="center"/>
        <w:rPr>
          <w:rFonts w:hint="eastAsia" w:ascii="仿宋" w:hAnsi="仿宋" w:eastAsia="仿宋" w:cs="仿宋"/>
          <w:b/>
          <w:sz w:val="40"/>
          <w:szCs w:val="22"/>
        </w:rPr>
      </w:pPr>
    </w:p>
    <w:p w14:paraId="3687FBD6">
      <w:pPr>
        <w:pStyle w:val="405"/>
        <w:spacing w:after="200" w:line="220" w:lineRule="atLeast"/>
        <w:jc w:val="center"/>
        <w:rPr>
          <w:rFonts w:hint="eastAsia" w:ascii="仿宋" w:hAnsi="仿宋" w:eastAsia="仿宋" w:cs="仿宋"/>
          <w:b/>
          <w:sz w:val="40"/>
          <w:szCs w:val="22"/>
        </w:rPr>
      </w:pPr>
    </w:p>
    <w:p w14:paraId="34976DD9">
      <w:pPr>
        <w:pStyle w:val="407"/>
        <w:spacing w:after="200" w:line="500" w:lineRule="exact"/>
        <w:rPr>
          <w:rFonts w:hint="eastAsia" w:ascii="仿宋" w:hAnsi="仿宋" w:eastAsia="仿宋" w:cs="仿宋"/>
          <w:sz w:val="28"/>
          <w:szCs w:val="28"/>
        </w:rPr>
      </w:pPr>
    </w:p>
    <w:p w14:paraId="33AD7D9D">
      <w:pPr>
        <w:pStyle w:val="408"/>
        <w:rPr>
          <w:rFonts w:hint="eastAsia" w:ascii="仿宋" w:hAnsi="仿宋" w:eastAsia="仿宋" w:cs="仿宋"/>
        </w:rPr>
      </w:pPr>
      <w:r>
        <w:rPr>
          <w:rFonts w:hint="eastAsia" w:ascii="仿宋" w:hAnsi="仿宋" w:eastAsia="仿宋" w:cs="仿宋"/>
        </w:rPr>
        <w:br w:type="page" w:clear="all"/>
      </w:r>
    </w:p>
    <w:p w14:paraId="7047AED9">
      <w:pPr>
        <w:pStyle w:val="375"/>
        <w:outlineLvl w:val="1"/>
        <w:rPr>
          <w:rFonts w:hint="default" w:ascii="仿宋" w:hAnsi="仿宋" w:eastAsia="仿宋" w:cs="仿宋"/>
          <w:lang w:val="en-US" w:eastAsia="zh-CN"/>
        </w:rPr>
      </w:pPr>
      <w:r>
        <w:rPr>
          <w:rFonts w:hint="eastAsia" w:ascii="仿宋" w:hAnsi="仿宋" w:eastAsia="仿宋" w:cs="仿宋"/>
          <w:lang w:val="en-US" w:eastAsia="zh-CN"/>
        </w:rPr>
        <w:t>九</w:t>
      </w:r>
      <w:r>
        <w:rPr>
          <w:rFonts w:hint="eastAsia" w:ascii="仿宋" w:hAnsi="仿宋" w:eastAsia="仿宋" w:cs="仿宋"/>
        </w:rPr>
        <w:t>、服务要求承诺（一）及相关服务方案</w:t>
      </w:r>
    </w:p>
    <w:p w14:paraId="4C577B5E">
      <w:pPr>
        <w:pStyle w:val="405"/>
        <w:spacing w:after="200" w:line="220" w:lineRule="atLeast"/>
        <w:jc w:val="both"/>
        <w:rPr>
          <w:rFonts w:hint="eastAsia" w:ascii="仿宋" w:hAnsi="仿宋" w:eastAsia="仿宋" w:cs="仿宋"/>
          <w:b/>
          <w:sz w:val="36"/>
          <w:szCs w:val="21"/>
        </w:rPr>
      </w:pPr>
    </w:p>
    <w:p w14:paraId="5E08348A">
      <w:pPr>
        <w:pStyle w:val="405"/>
        <w:spacing w:line="500" w:lineRule="exact"/>
        <w:jc w:val="both"/>
        <w:rPr>
          <w:rFonts w:hint="eastAsia" w:ascii="仿宋" w:hAnsi="仿宋" w:eastAsia="仿宋" w:cs="仿宋"/>
          <w:b/>
          <w:sz w:val="30"/>
          <w:szCs w:val="30"/>
        </w:rPr>
      </w:pPr>
      <w:r>
        <w:rPr>
          <w:rFonts w:hint="eastAsia" w:ascii="仿宋" w:hAnsi="仿宋" w:eastAsia="仿宋" w:cs="仿宋"/>
          <w:b/>
          <w:sz w:val="30"/>
          <w:szCs w:val="30"/>
        </w:rPr>
        <w:t>1、服务要求承诺（一）</w:t>
      </w:r>
    </w:p>
    <w:p w14:paraId="3A6BD773">
      <w:pPr>
        <w:pStyle w:val="406"/>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泗洪县机关事务管理中心</w:t>
      </w:r>
      <w:r>
        <w:rPr>
          <w:rFonts w:hint="eastAsia" w:ascii="仿宋" w:hAnsi="仿宋" w:eastAsia="仿宋" w:cs="仿宋"/>
          <w:sz w:val="28"/>
          <w:szCs w:val="28"/>
          <w:u w:val="single"/>
        </w:rPr>
        <w:t>：</w:t>
      </w:r>
    </w:p>
    <w:p w14:paraId="570B538A">
      <w:pPr>
        <w:pStyle w:val="145"/>
        <w:spacing w:after="195" w:line="435" w:lineRule="atLeast"/>
        <w:ind w:firstLine="480"/>
        <w:rPr>
          <w:rFonts w:hint="eastAsia" w:ascii="仿宋" w:hAnsi="仿宋" w:eastAsia="仿宋" w:cs="仿宋"/>
          <w:sz w:val="20"/>
        </w:rPr>
      </w:pPr>
      <w:r>
        <w:rPr>
          <w:rFonts w:hint="eastAsia" w:ascii="仿宋" w:hAnsi="仿宋" w:eastAsia="仿宋" w:cs="仿宋"/>
          <w:sz w:val="28"/>
          <w:szCs w:val="28"/>
        </w:rPr>
        <w:t>根据</w:t>
      </w:r>
      <w:r>
        <w:rPr>
          <w:rFonts w:hint="eastAsia" w:ascii="仿宋" w:hAnsi="仿宋" w:eastAsia="仿宋" w:cs="仿宋"/>
          <w:sz w:val="28"/>
          <w:szCs w:val="28"/>
          <w:highlight w:val="none"/>
          <w:u w:val="single"/>
          <w:lang w:val="en-US" w:eastAsia="zh-CN" w:bidi="ar-SA"/>
        </w:rPr>
        <w:t xml:space="preserve"> JSZC-321324-JZCG-G2026-0012 </w:t>
      </w:r>
      <w:r>
        <w:rPr>
          <w:rFonts w:hint="eastAsia" w:ascii="仿宋" w:hAnsi="仿宋" w:eastAsia="仿宋" w:cs="仿宋"/>
          <w:color w:val="000000"/>
          <w:sz w:val="28"/>
          <w:highlight w:val="none"/>
        </w:rPr>
        <w:t>号</w:t>
      </w:r>
      <w:r>
        <w:rPr>
          <w:rFonts w:hint="eastAsia" w:ascii="仿宋" w:hAnsi="仿宋" w:eastAsia="仿宋" w:cs="仿宋"/>
          <w:sz w:val="28"/>
          <w:szCs w:val="28"/>
          <w:highlight w:val="none"/>
          <w:u w:val="single"/>
          <w:lang w:val="en-US" w:eastAsia="zh-CN" w:bidi="ar-SA"/>
        </w:rPr>
        <w:t xml:space="preserve">泗洪县政务服务中心保洁服务采购项目 </w:t>
      </w:r>
      <w:r>
        <w:rPr>
          <w:rFonts w:hint="eastAsia" w:ascii="仿宋" w:hAnsi="仿宋" w:eastAsia="仿宋" w:cs="仿宋"/>
          <w:color w:val="000000"/>
          <w:sz w:val="28"/>
          <w:highlight w:val="none"/>
        </w:rPr>
        <w:t>招标文件相关要求，承诺如下：完全响应本项目</w:t>
      </w:r>
      <w:r>
        <w:rPr>
          <w:rFonts w:hint="eastAsia" w:ascii="仿宋" w:hAnsi="仿宋" w:eastAsia="仿宋" w:cs="仿宋"/>
          <w:color w:val="000000"/>
          <w:sz w:val="28"/>
          <w:highlight w:val="none"/>
          <w:rtl w:val="0"/>
          <w:lang w:val="en-US" w:eastAsia="zh-CN"/>
        </w:rPr>
        <w:t>“第四章、采购需求-第五条（一）保洁服务管理”</w:t>
      </w:r>
      <w:r>
        <w:rPr>
          <w:rFonts w:hint="eastAsia" w:ascii="仿宋" w:hAnsi="仿宋" w:eastAsia="仿宋" w:cs="仿宋"/>
          <w:color w:val="000000"/>
          <w:sz w:val="28"/>
          <w:highlight w:val="none"/>
        </w:rPr>
        <w:t>，如我单位中标，将按照响应内容进</w:t>
      </w:r>
      <w:r>
        <w:rPr>
          <w:rFonts w:hint="eastAsia" w:ascii="仿宋" w:hAnsi="仿宋" w:eastAsia="仿宋" w:cs="仿宋"/>
          <w:color w:val="000000"/>
          <w:sz w:val="28"/>
        </w:rPr>
        <w:t>行履约。如我单位投标文件的响应方案优于采购需求，将按投标文件履约。</w:t>
      </w:r>
    </w:p>
    <w:p w14:paraId="755EFB04">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color w:val="000000"/>
          <w:sz w:val="28"/>
        </w:rPr>
      </w:pPr>
      <w:r>
        <w:rPr>
          <w:rFonts w:hint="eastAsia" w:ascii="仿宋" w:hAnsi="仿宋" w:eastAsia="仿宋" w:cs="仿宋"/>
          <w:color w:val="000000"/>
          <w:sz w:val="28"/>
        </w:rPr>
        <w:t> </w:t>
      </w:r>
    </w:p>
    <w:p w14:paraId="786A6E66">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color w:val="000000"/>
          <w:sz w:val="28"/>
        </w:rPr>
      </w:pPr>
    </w:p>
    <w:p w14:paraId="1174E8FE">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color w:val="000000"/>
          <w:sz w:val="28"/>
        </w:rPr>
      </w:pPr>
      <w:r>
        <w:rPr>
          <w:rFonts w:hint="eastAsia" w:ascii="仿宋" w:hAnsi="仿宋" w:eastAsia="仿宋" w:cs="仿宋"/>
          <w:color w:val="000000"/>
          <w:sz w:val="28"/>
        </w:rPr>
        <w:t>                                  </w:t>
      </w:r>
    </w:p>
    <w:p w14:paraId="167E90E9">
      <w:pPr>
        <w:pBdr>
          <w:top w:val="none" w:color="000000" w:sz="0" w:space="0"/>
          <w:left w:val="none" w:color="000000" w:sz="0" w:space="0"/>
          <w:bottom w:val="none" w:color="000000" w:sz="0" w:space="0"/>
          <w:right w:val="none" w:color="000000" w:sz="0" w:space="0"/>
        </w:pBdr>
        <w:spacing w:line="500" w:lineRule="exact"/>
        <w:ind w:firstLine="3935" w:firstLineChars="1400"/>
        <w:rPr>
          <w:rFonts w:hint="eastAsia" w:ascii="仿宋" w:hAnsi="仿宋" w:eastAsia="仿宋" w:cs="仿宋"/>
          <w:sz w:val="20"/>
        </w:rPr>
      </w:pPr>
      <w:r>
        <w:rPr>
          <w:rFonts w:hint="eastAsia" w:ascii="仿宋" w:hAnsi="仿宋" w:eastAsia="仿宋" w:cs="仿宋"/>
          <w:b/>
          <w:color w:val="000000"/>
          <w:sz w:val="28"/>
        </w:rPr>
        <w:t>单位名称（盖CA电子公章）：</w:t>
      </w:r>
      <w:r>
        <w:rPr>
          <w:rFonts w:hint="eastAsia" w:ascii="仿宋" w:hAnsi="仿宋" w:eastAsia="仿宋" w:cs="仿宋"/>
          <w:color w:val="000000"/>
          <w:sz w:val="28"/>
        </w:rPr>
        <w:t>  </w:t>
      </w:r>
    </w:p>
    <w:p w14:paraId="1B9B8844">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b/>
          <w:color w:val="000000"/>
          <w:sz w:val="40"/>
        </w:rPr>
      </w:pPr>
    </w:p>
    <w:p w14:paraId="30FE603F">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b/>
          <w:color w:val="000000"/>
          <w:sz w:val="40"/>
        </w:rPr>
      </w:pPr>
    </w:p>
    <w:p w14:paraId="7A149720">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1549D0BD">
      <w:pPr>
        <w:pStyle w:val="405"/>
        <w:spacing w:line="500" w:lineRule="exact"/>
        <w:jc w:val="both"/>
        <w:rPr>
          <w:rFonts w:hint="eastAsia" w:ascii="仿宋" w:hAnsi="仿宋" w:eastAsia="仿宋" w:cs="仿宋"/>
          <w:b/>
          <w:sz w:val="30"/>
          <w:szCs w:val="30"/>
        </w:rPr>
      </w:pPr>
      <w:r>
        <w:rPr>
          <w:rFonts w:hint="eastAsia" w:ascii="仿宋" w:hAnsi="仿宋" w:eastAsia="仿宋" w:cs="仿宋"/>
          <w:b/>
          <w:sz w:val="32"/>
        </w:rPr>
        <w:t> </w:t>
      </w:r>
      <w:r>
        <w:rPr>
          <w:rFonts w:hint="eastAsia" w:ascii="仿宋" w:hAnsi="仿宋" w:eastAsia="仿宋" w:cs="仿宋"/>
          <w:b/>
          <w:sz w:val="30"/>
          <w:szCs w:val="30"/>
        </w:rPr>
        <w:t>2、相关服务方案 </w:t>
      </w:r>
    </w:p>
    <w:p w14:paraId="2960C7FA">
      <w:pPr>
        <w:pStyle w:val="405"/>
        <w:spacing w:line="500" w:lineRule="exact"/>
        <w:jc w:val="both"/>
        <w:rPr>
          <w:rFonts w:hint="eastAsia" w:ascii="仿宋" w:hAnsi="仿宋" w:eastAsia="仿宋" w:cs="仿宋"/>
          <w:b/>
          <w:sz w:val="30"/>
          <w:szCs w:val="30"/>
        </w:rPr>
      </w:pPr>
      <w:r>
        <w:rPr>
          <w:rFonts w:hint="eastAsia" w:ascii="仿宋" w:hAnsi="仿宋" w:eastAsia="仿宋" w:cs="仿宋"/>
          <w:b/>
          <w:sz w:val="30"/>
          <w:szCs w:val="30"/>
        </w:rPr>
        <w:t>（按照评分标准相关要求提供方案）</w:t>
      </w:r>
    </w:p>
    <w:p w14:paraId="4B1560CF">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color w:val="000000"/>
          <w:sz w:val="28"/>
        </w:rPr>
      </w:pPr>
      <w:r>
        <w:rPr>
          <w:rFonts w:hint="eastAsia" w:ascii="仿宋" w:hAnsi="仿宋" w:eastAsia="仿宋" w:cs="仿宋"/>
          <w:color w:val="000000"/>
          <w:sz w:val="28"/>
        </w:rPr>
        <w:t>                                  </w:t>
      </w:r>
    </w:p>
    <w:p w14:paraId="04423673">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3CDB3428">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0C2CD8DC">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64E23F69">
      <w:pPr>
        <w:rPr>
          <w:rFonts w:hint="eastAsia" w:ascii="仿宋" w:hAnsi="仿宋" w:eastAsia="仿宋" w:cs="仿宋"/>
          <w:b/>
          <w:color w:val="000000"/>
          <w:sz w:val="40"/>
        </w:rPr>
      </w:pPr>
      <w:r>
        <w:rPr>
          <w:rFonts w:hint="eastAsia" w:ascii="仿宋" w:hAnsi="仿宋" w:eastAsia="仿宋" w:cs="仿宋"/>
          <w:b/>
          <w:color w:val="000000"/>
          <w:sz w:val="40"/>
        </w:rPr>
        <w:br w:type="page" w:clear="all"/>
      </w:r>
    </w:p>
    <w:p w14:paraId="3FA0E1B8">
      <w:pPr>
        <w:pStyle w:val="375"/>
        <w:outlineLvl w:val="1"/>
        <w:rPr>
          <w:rFonts w:hint="default" w:ascii="仿宋" w:hAnsi="仿宋" w:eastAsia="仿宋" w:cs="仿宋"/>
          <w:lang w:val="en-US" w:eastAsia="zh-CN"/>
        </w:rPr>
      </w:pPr>
      <w:r>
        <w:rPr>
          <w:rFonts w:hint="eastAsia" w:ascii="仿宋" w:hAnsi="仿宋" w:eastAsia="仿宋" w:cs="仿宋"/>
        </w:rPr>
        <w:t>十、服务要求承诺（二）</w:t>
      </w:r>
    </w:p>
    <w:p w14:paraId="4F7D26CB">
      <w:pPr>
        <w:pStyle w:val="405"/>
        <w:spacing w:after="200" w:line="220" w:lineRule="atLeast"/>
        <w:jc w:val="both"/>
        <w:rPr>
          <w:rFonts w:hint="eastAsia" w:ascii="仿宋" w:hAnsi="仿宋" w:eastAsia="仿宋" w:cs="仿宋"/>
          <w:b/>
          <w:sz w:val="36"/>
          <w:szCs w:val="21"/>
        </w:rPr>
      </w:pPr>
    </w:p>
    <w:p w14:paraId="1DE421B4">
      <w:pPr>
        <w:pStyle w:val="405"/>
        <w:spacing w:after="200" w:line="220" w:lineRule="atLeast"/>
        <w:jc w:val="center"/>
        <w:rPr>
          <w:rFonts w:hint="eastAsia" w:ascii="仿宋" w:hAnsi="仿宋" w:eastAsia="仿宋" w:cs="仿宋"/>
          <w:b/>
          <w:sz w:val="30"/>
          <w:szCs w:val="30"/>
          <w:lang w:val="en-US" w:eastAsia="zh-CN" w:bidi="ar-SA"/>
        </w:rPr>
      </w:pPr>
      <w:r>
        <w:rPr>
          <w:rFonts w:hint="eastAsia" w:ascii="仿宋" w:hAnsi="仿宋" w:eastAsia="仿宋" w:cs="仿宋"/>
          <w:b/>
          <w:sz w:val="30"/>
          <w:szCs w:val="30"/>
          <w:lang w:val="en-US" w:eastAsia="zh-CN" w:bidi="ar-SA"/>
        </w:rPr>
        <w:t>服务要求承诺（二）</w:t>
      </w:r>
    </w:p>
    <w:p w14:paraId="5DF8FC10">
      <w:pPr>
        <w:pStyle w:val="406"/>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泗洪县机关事务管理中心</w:t>
      </w:r>
      <w:r>
        <w:rPr>
          <w:rFonts w:hint="eastAsia" w:ascii="仿宋" w:hAnsi="仿宋" w:eastAsia="仿宋" w:cs="仿宋"/>
          <w:sz w:val="28"/>
          <w:szCs w:val="28"/>
          <w:u w:val="single"/>
        </w:rPr>
        <w:t>：</w:t>
      </w:r>
    </w:p>
    <w:p w14:paraId="72E7E705">
      <w:pPr>
        <w:pStyle w:val="145"/>
        <w:spacing w:after="195" w:line="435" w:lineRule="atLeast"/>
        <w:ind w:firstLine="480"/>
        <w:rPr>
          <w:rFonts w:hint="eastAsia" w:ascii="仿宋" w:hAnsi="仿宋" w:eastAsia="仿宋" w:cs="仿宋"/>
          <w:sz w:val="28"/>
          <w:szCs w:val="28"/>
        </w:rPr>
      </w:pPr>
      <w:r>
        <w:rPr>
          <w:rFonts w:hint="eastAsia" w:ascii="仿宋" w:hAnsi="仿宋" w:eastAsia="仿宋" w:cs="仿宋"/>
          <w:sz w:val="28"/>
          <w:szCs w:val="28"/>
        </w:rPr>
        <w:t>根据</w:t>
      </w:r>
      <w:r>
        <w:rPr>
          <w:rFonts w:hint="eastAsia" w:ascii="仿宋" w:hAnsi="仿宋" w:eastAsia="仿宋" w:cs="仿宋"/>
          <w:sz w:val="28"/>
          <w:szCs w:val="28"/>
          <w:highlight w:val="none"/>
          <w:u w:val="single"/>
          <w:lang w:val="en-US" w:eastAsia="zh-CN" w:bidi="ar-SA"/>
        </w:rPr>
        <w:t xml:space="preserve"> JSZC-321324-JZCG-G2026-0012  </w:t>
      </w:r>
      <w:r>
        <w:rPr>
          <w:rFonts w:hint="eastAsia" w:ascii="仿宋" w:hAnsi="仿宋" w:eastAsia="仿宋" w:cs="仿宋"/>
          <w:color w:val="000000"/>
          <w:sz w:val="28"/>
        </w:rPr>
        <w:t>号</w:t>
      </w:r>
      <w:r>
        <w:rPr>
          <w:rFonts w:hint="eastAsia" w:ascii="仿宋" w:hAnsi="仿宋" w:eastAsia="仿宋" w:cs="仿宋"/>
          <w:sz w:val="28"/>
          <w:szCs w:val="28"/>
          <w:highlight w:val="none"/>
          <w:u w:val="single"/>
          <w:lang w:val="en-US" w:eastAsia="zh-CN" w:bidi="ar-SA"/>
        </w:rPr>
        <w:t>泗洪县政务服务中心保洁服务采购项目</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szCs w:val="28"/>
        </w:rPr>
        <w:t>招标文件相关要求，承诺如下：完全响应本项目“</w:t>
      </w:r>
      <w:r>
        <w:rPr>
          <w:rFonts w:hint="eastAsia" w:ascii="仿宋" w:hAnsi="仿宋" w:eastAsia="仿宋" w:cs="仿宋"/>
          <w:color w:val="000000"/>
          <w:sz w:val="28"/>
          <w:szCs w:val="28"/>
          <w:rtl w:val="0"/>
          <w:lang w:val="en-US" w:eastAsia="zh-CN"/>
        </w:rPr>
        <w:t>第四章、采购需求-十二、其他要求”</w:t>
      </w:r>
      <w:r>
        <w:rPr>
          <w:rFonts w:hint="eastAsia" w:ascii="仿宋" w:hAnsi="仿宋" w:eastAsia="仿宋" w:cs="仿宋"/>
          <w:color w:val="000000"/>
          <w:sz w:val="28"/>
          <w:szCs w:val="28"/>
        </w:rPr>
        <w:t>，如我单位中标，将按照响应内容进行履约。如我单位投标文件的响应方案优于采购需求，将按投标文件履约。</w:t>
      </w:r>
    </w:p>
    <w:p w14:paraId="252BCF32">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w:t>
      </w:r>
    </w:p>
    <w:p w14:paraId="625084D7">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color w:val="000000"/>
          <w:sz w:val="28"/>
          <w:szCs w:val="28"/>
        </w:rPr>
      </w:pPr>
    </w:p>
    <w:p w14:paraId="79ACC969">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8"/>
          <w:szCs w:val="28"/>
        </w:rPr>
      </w:pPr>
      <w:r>
        <w:rPr>
          <w:rFonts w:hint="eastAsia" w:ascii="仿宋" w:hAnsi="仿宋" w:eastAsia="仿宋" w:cs="仿宋"/>
          <w:color w:val="000000"/>
          <w:sz w:val="28"/>
          <w:szCs w:val="28"/>
        </w:rPr>
        <w:t> </w:t>
      </w:r>
    </w:p>
    <w:p w14:paraId="6AAF8655">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sz w:val="28"/>
          <w:szCs w:val="28"/>
        </w:rPr>
      </w:pPr>
      <w:r>
        <w:rPr>
          <w:rFonts w:hint="eastAsia" w:ascii="仿宋" w:hAnsi="仿宋" w:eastAsia="仿宋" w:cs="仿宋"/>
          <w:b/>
          <w:color w:val="000000"/>
          <w:sz w:val="28"/>
          <w:szCs w:val="28"/>
        </w:rPr>
        <w:t>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单位名称（盖CA电子公章）</w:t>
      </w:r>
      <w:r>
        <w:rPr>
          <w:rFonts w:hint="eastAsia" w:ascii="仿宋" w:hAnsi="仿宋" w:eastAsia="仿宋" w:cs="仿宋"/>
          <w:b/>
          <w:color w:val="000000"/>
          <w:sz w:val="28"/>
          <w:szCs w:val="28"/>
        </w:rPr>
        <w:t>：</w:t>
      </w:r>
    </w:p>
    <w:p w14:paraId="39C445B6">
      <w:pPr>
        <w:pBdr>
          <w:top w:val="none" w:color="000000" w:sz="0" w:space="0"/>
          <w:left w:val="none" w:color="000000" w:sz="0" w:space="0"/>
          <w:bottom w:val="none" w:color="000000" w:sz="0" w:space="0"/>
          <w:right w:val="none" w:color="000000" w:sz="0" w:space="0"/>
        </w:pBdr>
        <w:rPr>
          <w:rFonts w:hint="eastAsia" w:ascii="仿宋" w:hAnsi="仿宋" w:eastAsia="仿宋" w:cs="仿宋"/>
          <w:sz w:val="28"/>
          <w:szCs w:val="28"/>
        </w:rPr>
      </w:pPr>
      <w:r>
        <w:rPr>
          <w:rFonts w:hint="eastAsia" w:ascii="仿宋" w:hAnsi="仿宋" w:eastAsia="仿宋" w:cs="仿宋"/>
          <w:b/>
          <w:color w:val="000000"/>
          <w:sz w:val="28"/>
          <w:szCs w:val="28"/>
        </w:rPr>
        <w:t> </w:t>
      </w:r>
    </w:p>
    <w:p w14:paraId="5EBC2F84">
      <w:pPr>
        <w:pBdr>
          <w:top w:val="none" w:color="000000" w:sz="0" w:space="0"/>
          <w:left w:val="none" w:color="000000" w:sz="0" w:space="0"/>
          <w:bottom w:val="none" w:color="000000" w:sz="0" w:space="0"/>
          <w:right w:val="none" w:color="000000" w:sz="0" w:space="0"/>
        </w:pBdr>
        <w:rPr>
          <w:rFonts w:hint="eastAsia" w:ascii="仿宋" w:hAnsi="仿宋" w:eastAsia="仿宋" w:cs="仿宋"/>
          <w:sz w:val="30"/>
          <w:szCs w:val="30"/>
        </w:rPr>
      </w:pPr>
    </w:p>
    <w:p w14:paraId="01BF76C5">
      <w:pPr>
        <w:pBdr>
          <w:top w:val="none" w:color="000000" w:sz="0" w:space="0"/>
          <w:left w:val="none" w:color="000000" w:sz="0" w:space="0"/>
          <w:bottom w:val="none" w:color="000000" w:sz="0" w:space="0"/>
          <w:right w:val="none" w:color="000000" w:sz="0" w:space="0"/>
        </w:pBdr>
        <w:rPr>
          <w:rFonts w:hint="eastAsia" w:ascii="仿宋" w:hAnsi="仿宋" w:eastAsia="仿宋" w:cs="仿宋"/>
          <w:sz w:val="30"/>
          <w:szCs w:val="30"/>
        </w:rPr>
      </w:pPr>
      <w:r>
        <w:rPr>
          <w:rFonts w:hint="eastAsia" w:ascii="仿宋" w:hAnsi="仿宋" w:eastAsia="仿宋" w:cs="仿宋"/>
          <w:b/>
          <w:color w:val="000000"/>
          <w:sz w:val="28"/>
          <w:szCs w:val="28"/>
        </w:rPr>
        <w:t> </w:t>
      </w:r>
    </w:p>
    <w:p w14:paraId="034049F3">
      <w:pPr>
        <w:pBdr>
          <w:top w:val="none" w:color="000000" w:sz="0" w:space="0"/>
          <w:left w:val="none" w:color="000000" w:sz="0" w:space="0"/>
          <w:bottom w:val="none" w:color="000000" w:sz="0" w:space="0"/>
          <w:right w:val="none" w:color="000000" w:sz="0" w:space="0"/>
        </w:pBdr>
        <w:spacing w:after="200"/>
        <w:rPr>
          <w:rFonts w:hint="eastAsia" w:ascii="仿宋" w:hAnsi="仿宋" w:eastAsia="仿宋" w:cs="仿宋"/>
          <w:sz w:val="30"/>
          <w:szCs w:val="30"/>
        </w:rPr>
      </w:pPr>
    </w:p>
    <w:p w14:paraId="09DC8FB4">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b/>
          <w:bCs/>
          <w:color w:val="000000"/>
          <w:sz w:val="30"/>
          <w:szCs w:val="30"/>
        </w:rPr>
      </w:pPr>
    </w:p>
    <w:p w14:paraId="5193A112">
      <w:pPr>
        <w:pStyle w:val="375"/>
        <w:outlineLvl w:val="1"/>
        <w:rPr>
          <w:rFonts w:hint="eastAsia" w:ascii="仿宋" w:hAnsi="仿宋" w:eastAsia="仿宋" w:cs="仿宋"/>
          <w:lang w:val="en-US" w:eastAsia="zh-CN"/>
        </w:rPr>
      </w:pPr>
    </w:p>
    <w:p w14:paraId="5C4D96F3">
      <w:pPr>
        <w:spacing w:line="480" w:lineRule="exact"/>
        <w:outlineLvl w:val="1"/>
        <w:rPr>
          <w:rFonts w:hint="eastAsia" w:ascii="仿宋" w:hAnsi="仿宋" w:eastAsia="仿宋" w:cs="仿宋"/>
          <w:b/>
          <w:bCs/>
          <w:color w:val="000000"/>
          <w:szCs w:val="32"/>
        </w:rPr>
      </w:pPr>
      <w:r>
        <w:rPr>
          <w:rFonts w:hint="eastAsia" w:ascii="仿宋" w:hAnsi="仿宋" w:eastAsia="仿宋" w:cs="仿宋"/>
          <w:b/>
          <w:bCs/>
          <w:color w:val="000000"/>
          <w:sz w:val="32"/>
          <w:szCs w:val="32"/>
        </w:rPr>
        <w:t>十</w:t>
      </w:r>
      <w:r>
        <w:rPr>
          <w:rFonts w:hint="eastAsia" w:ascii="仿宋" w:hAnsi="仿宋" w:eastAsia="仿宋" w:cs="仿宋"/>
          <w:b/>
          <w:bCs/>
          <w:color w:val="000000"/>
          <w:sz w:val="32"/>
          <w:szCs w:val="32"/>
          <w:lang w:val="en-US" w:eastAsia="zh-CN"/>
        </w:rPr>
        <w:t>一</w:t>
      </w:r>
      <w:r>
        <w:rPr>
          <w:rFonts w:hint="eastAsia" w:ascii="仿宋" w:hAnsi="仿宋" w:eastAsia="仿宋" w:cs="仿宋"/>
          <w:b/>
          <w:bCs/>
          <w:color w:val="000000"/>
          <w:sz w:val="32"/>
          <w:szCs w:val="32"/>
        </w:rPr>
        <w:t>、投标所需其他材料</w:t>
      </w:r>
    </w:p>
    <w:p w14:paraId="730AEBAC">
      <w:pPr>
        <w:pStyle w:val="389"/>
        <w:spacing w:line="480" w:lineRule="exact"/>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请在此文档中增加投标所需其他相关内容（包括评分办法、采购需求中涉及的证件证明及其它投标人认为有必要提供的资料），如没有请将此空文档上传。</w:t>
      </w:r>
    </w:p>
    <w:p w14:paraId="1BE91C1B">
      <w:pPr>
        <w:pStyle w:val="364"/>
        <w:spacing w:line="360" w:lineRule="auto"/>
        <w:ind w:firstLine="482"/>
        <w:rPr>
          <w:rFonts w:hint="eastAsia" w:ascii="仿宋" w:hAnsi="仿宋" w:eastAsia="仿宋" w:cs="仿宋"/>
          <w:color w:val="000000"/>
          <w:sz w:val="24"/>
        </w:rPr>
      </w:pPr>
    </w:p>
    <w:p w14:paraId="3FE15EE1">
      <w:pPr>
        <w:pStyle w:val="343"/>
        <w:jc w:val="center"/>
        <w:rPr>
          <w:rFonts w:hint="eastAsia" w:ascii="仿宋" w:hAnsi="仿宋" w:eastAsia="仿宋" w:cs="仿宋"/>
          <w:bCs/>
          <w:color w:val="000000"/>
          <w:sz w:val="32"/>
          <w:szCs w:val="32"/>
        </w:rPr>
      </w:pPr>
    </w:p>
    <w:p w14:paraId="58DCAAF3">
      <w:pPr>
        <w:spacing w:line="400" w:lineRule="exact"/>
        <w:ind w:firstLine="480"/>
        <w:jc w:val="left"/>
        <w:rPr>
          <w:rFonts w:hint="eastAsia" w:ascii="仿宋" w:hAnsi="仿宋" w:eastAsia="仿宋" w:cs="仿宋"/>
          <w:color w:val="000000"/>
          <w:sz w:val="24"/>
          <w:szCs w:val="24"/>
        </w:rPr>
      </w:pPr>
    </w:p>
    <w:p w14:paraId="2A8EA23F">
      <w:pPr>
        <w:pStyle w:val="389"/>
        <w:spacing w:line="480" w:lineRule="exact"/>
        <w:rPr>
          <w:rFonts w:hint="eastAsia" w:ascii="仿宋" w:hAnsi="仿宋" w:eastAsia="仿宋" w:cs="仿宋"/>
          <w:color w:val="000000"/>
          <w:sz w:val="24"/>
          <w:szCs w:val="24"/>
        </w:rPr>
      </w:pPr>
    </w:p>
    <w:p w14:paraId="7115863A">
      <w:pPr>
        <w:pStyle w:val="389"/>
        <w:spacing w:line="480" w:lineRule="exact"/>
        <w:rPr>
          <w:rFonts w:hint="eastAsia" w:ascii="仿宋" w:hAnsi="仿宋" w:eastAsia="仿宋" w:cs="仿宋"/>
          <w:color w:val="000000"/>
          <w:sz w:val="24"/>
          <w:szCs w:val="24"/>
        </w:rPr>
      </w:pPr>
    </w:p>
    <w:sectPr>
      <w:footerReference r:id="rId6" w:type="default"/>
      <w:type w:val="continuous"/>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88D0C47F-25D4-41FD-A89B-2B8A0A560BD8}"/>
  </w:font>
  <w:font w:name="新宋体">
    <w:panose1 w:val="02010609030101010101"/>
    <w:charset w:val="86"/>
    <w:family w:val="auto"/>
    <w:pitch w:val="default"/>
    <w:sig w:usb0="000002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华文楷体">
    <w:altName w:val="宋体"/>
    <w:panose1 w:val="02010600040101010101"/>
    <w:charset w:val="00"/>
    <w:family w:val="auto"/>
    <w:pitch w:val="default"/>
    <w:sig w:usb0="00000000" w:usb1="00000000" w:usb2="00000000" w:usb3="00000000" w:csb0="00000000" w:csb1="00000000"/>
  </w:font>
  <w:font w:name="方正仿宋_GB2312">
    <w:panose1 w:val="02000000000000000000"/>
    <w:charset w:val="86"/>
    <w:family w:val="auto"/>
    <w:pitch w:val="default"/>
    <w:sig w:usb0="A00002BF" w:usb1="184F6CFA" w:usb2="00000012" w:usb3="00000000" w:csb0="00040001" w:csb1="00000000"/>
    <w:embedRegular r:id="rId2" w:fontKey="{DA467FC7-7817-4407-93D7-680B9DAEBDD4}"/>
  </w:font>
  <w:font w:name="方正仿宋_GBK">
    <w:panose1 w:val="03000509000000000000"/>
    <w:charset w:val="86"/>
    <w:family w:val="auto"/>
    <w:pitch w:val="default"/>
    <w:sig w:usb0="00000001" w:usb1="080E0000" w:usb2="00000000" w:usb3="00000000" w:csb0="00040000" w:csb1="00000000"/>
    <w:embedRegular r:id="rId3" w:fontKey="{0B9A9F81-70CE-43DF-A424-0BBA35FD6B12}"/>
  </w:font>
  <w:font w:name="WPSEMBED1">
    <w:panose1 w:val="02000000000000000000"/>
    <w:charset w:val="86"/>
    <w:family w:val="auto"/>
    <w:pitch w:val="default"/>
    <w:sig w:usb0="A00002BF" w:usb1="184F6CFA" w:usb2="00000012" w:usb3="00000000" w:csb0="00040001" w:csb1="00000000"/>
  </w:font>
  <w:font w:name="WPSEMBED2">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6FCB1">
    <w:pPr>
      <w:pStyle w:val="12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-13335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35BA15CC">
                          <w:pPr>
                            <w:pStyle w:val="12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07DA2303"/>
                      </w:txbxContent>
                    </wps:txbx>
                    <wps:bodyPr wrap="square" lIns="0" tIns="0" rIns="0" bIns="0" upright="1"/>
                  </wps:wsp>
                </a:graphicData>
              </a:graphic>
            </wp:anchor>
          </w:drawing>
        </mc:Choice>
        <mc:Fallback>
          <w:pict>
            <v:shape id="_x0000_s1026" o:spid="_x0000_s1026" o:spt="202" type="#_x0000_t202" style="position:absolute;left:0pt;margin-top:-1.05pt;height:27.05pt;width:60.7pt;mso-position-horizontal:center;mso-position-horizontal-relative:margin;z-index:251659264;mso-width-relative:page;mso-height-relative:page;" filled="f" stroked="f" coordsize="21600,21600" o:gfxdata="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&#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PPAt7VAAAABgEAAA8AAAAAAAAAAQAgAAAAIgAAAGRy&#10;cy9kb3ducmV2LnhtbFBLAQIUABQAAAAIAIdO4kD0c8RRzwEAAI0DAAAOAAAAAAAAAAEAIAAAACQB&#10;AABkcnMvZTJvRG9jLnhtbFBLBQYAAAAABgAGAFkBAABlBQAAAAA=&#10;">
              <v:fill on="f" focussize="0,0"/>
              <v:stroke on="f"/>
              <v:imagedata o:title=""/>
              <o:lock v:ext="edit" aspectratio="f"/>
              <v:textbox inset="0mm,0mm,0mm,0mm">
                <w:txbxContent>
                  <w:p w14:paraId="35BA15CC">
                    <w:pPr>
                      <w:pStyle w:val="12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07DA2303"/>
                </w:txbxContent>
              </v:textbox>
            </v:shape>
          </w:pict>
        </mc:Fallback>
      </mc:AlternateContent>
    </w:r>
  </w:p>
  <w:p w14:paraId="056259BA">
    <w:pPr>
      <w:pStyle w:val="1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4AD6C">
    <w:pPr>
      <w:pStyle w:val="12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1305963">
                          <w:pPr>
                            <w:pStyle w:val="124"/>
                            <w:tabs>
                              <w:tab w:val="clear" w:pos="4153"/>
                              <w:tab w:val="clear" w:pos="8306"/>
                            </w:tabs>
                          </w:pPr>
                          <w:r>
                            <w:fldChar w:fldCharType="begin"/>
                          </w:r>
                          <w:r>
                            <w:instrText xml:space="preserve"> PAGE  \* MERGEFORMAT </w:instrText>
                          </w:r>
                          <w:r>
                            <w:fldChar w:fldCharType="separate"/>
                          </w:r>
                          <w:r>
                            <w:t>1</w:t>
                          </w:r>
                          <w:r>
                            <w:fldChar w:fldCharType="end"/>
                          </w:r>
                        </w:p>
                        <w:p w14:paraId="2FAE96E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1305963">
                    <w:pPr>
                      <w:pStyle w:val="124"/>
                      <w:tabs>
                        <w:tab w:val="clear" w:pos="4153"/>
                        <w:tab w:val="clear" w:pos="8306"/>
                      </w:tabs>
                    </w:pPr>
                    <w:r>
                      <w:fldChar w:fldCharType="begin"/>
                    </w:r>
                    <w:r>
                      <w:instrText xml:space="preserve"> PAGE  \* MERGEFORMAT </w:instrText>
                    </w:r>
                    <w:r>
                      <w:fldChar w:fldCharType="separate"/>
                    </w:r>
                    <w:r>
                      <w:t>1</w:t>
                    </w:r>
                    <w:r>
                      <w:fldChar w:fldCharType="end"/>
                    </w:r>
                  </w:p>
                  <w:p w14:paraId="2FAE96E9"/>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66F96">
    <w:pPr>
      <w:pStyle w:val="12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6388A119">
                          <w:pPr>
                            <w:pStyle w:val="12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2F6DAE38"/>
                      </w:txbxContent>
                    </wps:txbx>
                    <wps:bodyPr wrap="square" lIns="0" tIns="0" rIns="0" bIns="0" upright="1"/>
                  </wps:wsp>
                </a:graphicData>
              </a:graphic>
            </wp:anchor>
          </w:drawing>
        </mc:Choice>
        <mc:Fallback>
          <w:pict>
            <v:shape id="_x0000_s1026" o:spid="_x0000_s1026" o:spt="202" type="#_x0000_t202" style="position:absolute;left:0pt;margin-top:-1.05pt;height:22pt;width:58.5pt;mso-position-horizontal:center;mso-position-horizontal-relative:margin;z-index:251660288;mso-width-relative:page;mso-height-relative:page;" filled="f" stroked="f" coordsize="21600,21600" o:gfxdata="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tksfx1QAAAAYBAAAPAAAAAAAAAAEAIAAAACIAAABk&#10;cnMvZG93bnJldi54bWxQSwECFAAUAAAACACHTuJA8FM7zNABAACNAwAADgAAAAAAAAABACAAAAAk&#10;AQAAZHJzL2Uyb0RvYy54bWxQSwUGAAAAAAYABgBZAQAAZgUAAAAA&#10;">
              <v:fill on="f" focussize="0,0"/>
              <v:stroke on="f"/>
              <v:imagedata o:title=""/>
              <o:lock v:ext="edit" aspectratio="f"/>
              <v:textbox inset="0mm,0mm,0mm,0mm">
                <w:txbxContent>
                  <w:p w14:paraId="6388A119">
                    <w:pPr>
                      <w:pStyle w:val="12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2F6DAE38"/>
                </w:txbxContent>
              </v:textbox>
            </v:shape>
          </w:pict>
        </mc:Fallback>
      </mc:AlternateContent>
    </w:r>
  </w:p>
  <w:p w14:paraId="37C61DF5">
    <w:pPr>
      <w:pStyle w:val="1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DFAC1">
    <w:pPr>
      <w:pStyle w:val="12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A59FA8"/>
    <w:multiLevelType w:val="singleLevel"/>
    <w:tmpl w:val="AFA59FA8"/>
    <w:lvl w:ilvl="0" w:tentative="0">
      <w:start w:val="3"/>
      <w:numFmt w:val="decimal"/>
      <w:suff w:val="nothing"/>
      <w:lvlText w:val="%1、"/>
      <w:lvlJc w:val="left"/>
    </w:lvl>
  </w:abstractNum>
  <w:abstractNum w:abstractNumId="1">
    <w:nsid w:val="C32F3AF9"/>
    <w:multiLevelType w:val="singleLevel"/>
    <w:tmpl w:val="C32F3AF9"/>
    <w:lvl w:ilvl="0" w:tentative="0">
      <w:start w:val="2"/>
      <w:numFmt w:val="decimal"/>
      <w:lvlText w:val="%1."/>
      <w:lvlJc w:val="left"/>
      <w:pPr>
        <w:tabs>
          <w:tab w:val="left" w:pos="312"/>
        </w:tabs>
      </w:pPr>
    </w:lvl>
  </w:abstractNum>
  <w:abstractNum w:abstractNumId="2">
    <w:nsid w:val="CF092B84"/>
    <w:multiLevelType w:val="multilevel"/>
    <w:tmpl w:val="CF092B84"/>
    <w:lvl w:ilvl="0" w:tentative="0">
      <w:start w:val="1"/>
      <w:numFmt w:val="chineseCounting"/>
      <w:pStyle w:val="469"/>
      <w:suff w:val="nothing"/>
      <w:lvlText w:val="%1、"/>
      <w:lvlJc w:val="left"/>
      <w:rPr>
        <w:rFonts w:hint="eastAsia"/>
      </w:rPr>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decimal"/>
      <w:pStyle w:val="454"/>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25861"/>
    <w:rsid w:val="00133DB4"/>
    <w:rsid w:val="005C4D2E"/>
    <w:rsid w:val="00C621A8"/>
    <w:rsid w:val="00F22F9D"/>
    <w:rsid w:val="0100390C"/>
    <w:rsid w:val="012D0479"/>
    <w:rsid w:val="0135303D"/>
    <w:rsid w:val="013E4434"/>
    <w:rsid w:val="017D31AE"/>
    <w:rsid w:val="01D96CA4"/>
    <w:rsid w:val="01E07299"/>
    <w:rsid w:val="0281665B"/>
    <w:rsid w:val="029F53A6"/>
    <w:rsid w:val="02A12ECC"/>
    <w:rsid w:val="02B56978"/>
    <w:rsid w:val="02ED4364"/>
    <w:rsid w:val="030B6598"/>
    <w:rsid w:val="03265180"/>
    <w:rsid w:val="04602913"/>
    <w:rsid w:val="04842AA6"/>
    <w:rsid w:val="049C1B9D"/>
    <w:rsid w:val="04A62A1C"/>
    <w:rsid w:val="04F75026"/>
    <w:rsid w:val="058D14E6"/>
    <w:rsid w:val="058D5B31"/>
    <w:rsid w:val="05FB0B46"/>
    <w:rsid w:val="0627193B"/>
    <w:rsid w:val="06A0349B"/>
    <w:rsid w:val="06BC6527"/>
    <w:rsid w:val="06CA4402"/>
    <w:rsid w:val="072B0FB7"/>
    <w:rsid w:val="07462294"/>
    <w:rsid w:val="07632E46"/>
    <w:rsid w:val="07A31495"/>
    <w:rsid w:val="07C02047"/>
    <w:rsid w:val="07E21FBD"/>
    <w:rsid w:val="07EF46DA"/>
    <w:rsid w:val="088210AA"/>
    <w:rsid w:val="0891753F"/>
    <w:rsid w:val="08DA2C94"/>
    <w:rsid w:val="08F0261D"/>
    <w:rsid w:val="0935436E"/>
    <w:rsid w:val="0937357F"/>
    <w:rsid w:val="09630EDC"/>
    <w:rsid w:val="09905A49"/>
    <w:rsid w:val="09B039F5"/>
    <w:rsid w:val="0A670558"/>
    <w:rsid w:val="0AD11E75"/>
    <w:rsid w:val="0B116715"/>
    <w:rsid w:val="0B310B66"/>
    <w:rsid w:val="0B5A00BC"/>
    <w:rsid w:val="0BBA4FFF"/>
    <w:rsid w:val="0C0F4B2A"/>
    <w:rsid w:val="0C2F1AFF"/>
    <w:rsid w:val="0CDF1CB3"/>
    <w:rsid w:val="0CF956B3"/>
    <w:rsid w:val="0E2C21E4"/>
    <w:rsid w:val="0E2D3866"/>
    <w:rsid w:val="0E5434E9"/>
    <w:rsid w:val="0E563428"/>
    <w:rsid w:val="0EAA7549"/>
    <w:rsid w:val="0EEE7499"/>
    <w:rsid w:val="0F24110D"/>
    <w:rsid w:val="0F786D63"/>
    <w:rsid w:val="0FB87AA7"/>
    <w:rsid w:val="10060813"/>
    <w:rsid w:val="102B64CB"/>
    <w:rsid w:val="1093553E"/>
    <w:rsid w:val="10BB33AB"/>
    <w:rsid w:val="10E70644"/>
    <w:rsid w:val="111D5318"/>
    <w:rsid w:val="11496170"/>
    <w:rsid w:val="115B06EA"/>
    <w:rsid w:val="123A0C48"/>
    <w:rsid w:val="133E6515"/>
    <w:rsid w:val="135875D7"/>
    <w:rsid w:val="143811B7"/>
    <w:rsid w:val="144B713C"/>
    <w:rsid w:val="146E4BD8"/>
    <w:rsid w:val="147F6DE6"/>
    <w:rsid w:val="15897F1C"/>
    <w:rsid w:val="158F12AA"/>
    <w:rsid w:val="15FA4976"/>
    <w:rsid w:val="1720665E"/>
    <w:rsid w:val="17836BED"/>
    <w:rsid w:val="18506ACF"/>
    <w:rsid w:val="185A5BA0"/>
    <w:rsid w:val="186E164B"/>
    <w:rsid w:val="18707171"/>
    <w:rsid w:val="189E3CDE"/>
    <w:rsid w:val="18C33745"/>
    <w:rsid w:val="1910507E"/>
    <w:rsid w:val="192D5D75"/>
    <w:rsid w:val="193E101D"/>
    <w:rsid w:val="19B80DD0"/>
    <w:rsid w:val="19BE215E"/>
    <w:rsid w:val="19C332D1"/>
    <w:rsid w:val="19DB0058"/>
    <w:rsid w:val="19F811CC"/>
    <w:rsid w:val="19FD4A34"/>
    <w:rsid w:val="1B043BA1"/>
    <w:rsid w:val="1B300A8C"/>
    <w:rsid w:val="1C6E5776"/>
    <w:rsid w:val="1C96375A"/>
    <w:rsid w:val="1CF30371"/>
    <w:rsid w:val="1DA8494D"/>
    <w:rsid w:val="1DAD49C3"/>
    <w:rsid w:val="1DB96EC4"/>
    <w:rsid w:val="1E164317"/>
    <w:rsid w:val="1E222CBC"/>
    <w:rsid w:val="1EAF02C7"/>
    <w:rsid w:val="1ECE2E43"/>
    <w:rsid w:val="1F4924CA"/>
    <w:rsid w:val="1F4A1FCE"/>
    <w:rsid w:val="1FBE4C66"/>
    <w:rsid w:val="1FEE7A64"/>
    <w:rsid w:val="20427645"/>
    <w:rsid w:val="204D1B46"/>
    <w:rsid w:val="20887022"/>
    <w:rsid w:val="217D46AD"/>
    <w:rsid w:val="218E0668"/>
    <w:rsid w:val="21B207FA"/>
    <w:rsid w:val="21F04E7F"/>
    <w:rsid w:val="22B30384"/>
    <w:rsid w:val="2302130E"/>
    <w:rsid w:val="231E77CA"/>
    <w:rsid w:val="232C638A"/>
    <w:rsid w:val="23CB7951"/>
    <w:rsid w:val="24000D54"/>
    <w:rsid w:val="245E4322"/>
    <w:rsid w:val="24A02B8C"/>
    <w:rsid w:val="24B403E6"/>
    <w:rsid w:val="24E46F1D"/>
    <w:rsid w:val="2572277A"/>
    <w:rsid w:val="26296BB1"/>
    <w:rsid w:val="263F0183"/>
    <w:rsid w:val="26B20955"/>
    <w:rsid w:val="26F64CE5"/>
    <w:rsid w:val="270A253F"/>
    <w:rsid w:val="270F224B"/>
    <w:rsid w:val="270F5DA7"/>
    <w:rsid w:val="27A961FC"/>
    <w:rsid w:val="27E502D5"/>
    <w:rsid w:val="27EB4D1A"/>
    <w:rsid w:val="27FA5107"/>
    <w:rsid w:val="28700AC7"/>
    <w:rsid w:val="287F1375"/>
    <w:rsid w:val="2A27165A"/>
    <w:rsid w:val="2A391AB9"/>
    <w:rsid w:val="2AE13EFE"/>
    <w:rsid w:val="2B035C23"/>
    <w:rsid w:val="2B057BED"/>
    <w:rsid w:val="2B9B40AD"/>
    <w:rsid w:val="2C3B319A"/>
    <w:rsid w:val="2C46158D"/>
    <w:rsid w:val="2C8624E1"/>
    <w:rsid w:val="2CAC3F95"/>
    <w:rsid w:val="2CCF7690"/>
    <w:rsid w:val="2CF0507D"/>
    <w:rsid w:val="2D7C1CBC"/>
    <w:rsid w:val="2DDB4C35"/>
    <w:rsid w:val="2F370591"/>
    <w:rsid w:val="2F542EF1"/>
    <w:rsid w:val="2F570CF6"/>
    <w:rsid w:val="2F590507"/>
    <w:rsid w:val="2FD20DE6"/>
    <w:rsid w:val="3025663B"/>
    <w:rsid w:val="307B44AD"/>
    <w:rsid w:val="30A21A3A"/>
    <w:rsid w:val="30B04157"/>
    <w:rsid w:val="30C61284"/>
    <w:rsid w:val="30CA1736"/>
    <w:rsid w:val="310821E5"/>
    <w:rsid w:val="31494069"/>
    <w:rsid w:val="31603DCF"/>
    <w:rsid w:val="31E367AE"/>
    <w:rsid w:val="3264344B"/>
    <w:rsid w:val="32827D75"/>
    <w:rsid w:val="3344502A"/>
    <w:rsid w:val="348222AE"/>
    <w:rsid w:val="349D0E96"/>
    <w:rsid w:val="355F7EFA"/>
    <w:rsid w:val="3569521C"/>
    <w:rsid w:val="359009FB"/>
    <w:rsid w:val="35BC17F0"/>
    <w:rsid w:val="35E825E5"/>
    <w:rsid w:val="3662020F"/>
    <w:rsid w:val="36B83D65"/>
    <w:rsid w:val="36BD4744"/>
    <w:rsid w:val="37B179ED"/>
    <w:rsid w:val="383733B0"/>
    <w:rsid w:val="38451629"/>
    <w:rsid w:val="38563836"/>
    <w:rsid w:val="388F6D48"/>
    <w:rsid w:val="39317DFF"/>
    <w:rsid w:val="39E210F9"/>
    <w:rsid w:val="3A3A2CE3"/>
    <w:rsid w:val="3ADC3D9A"/>
    <w:rsid w:val="3AEA4709"/>
    <w:rsid w:val="3AEF1D20"/>
    <w:rsid w:val="3B1479D8"/>
    <w:rsid w:val="3B9308FD"/>
    <w:rsid w:val="3BFF41E4"/>
    <w:rsid w:val="3C12216A"/>
    <w:rsid w:val="3CF578B9"/>
    <w:rsid w:val="3CFD1A00"/>
    <w:rsid w:val="3D344362"/>
    <w:rsid w:val="3D595B76"/>
    <w:rsid w:val="3D842BF3"/>
    <w:rsid w:val="3DD1395F"/>
    <w:rsid w:val="3DE11DF4"/>
    <w:rsid w:val="3ED94336"/>
    <w:rsid w:val="3F033FEC"/>
    <w:rsid w:val="3F122481"/>
    <w:rsid w:val="3F24318A"/>
    <w:rsid w:val="3F454608"/>
    <w:rsid w:val="3F584337"/>
    <w:rsid w:val="3F591E5E"/>
    <w:rsid w:val="3F6F342F"/>
    <w:rsid w:val="3F9133A5"/>
    <w:rsid w:val="400D3374"/>
    <w:rsid w:val="404E1296"/>
    <w:rsid w:val="406F22C2"/>
    <w:rsid w:val="40925627"/>
    <w:rsid w:val="40E56788"/>
    <w:rsid w:val="41994793"/>
    <w:rsid w:val="42185BBC"/>
    <w:rsid w:val="44C9538F"/>
    <w:rsid w:val="44CD30D2"/>
    <w:rsid w:val="450D1720"/>
    <w:rsid w:val="45513D03"/>
    <w:rsid w:val="4698326B"/>
    <w:rsid w:val="469D2F78"/>
    <w:rsid w:val="46DA7D28"/>
    <w:rsid w:val="46DC29FE"/>
    <w:rsid w:val="477261B2"/>
    <w:rsid w:val="478F0B12"/>
    <w:rsid w:val="47BC567F"/>
    <w:rsid w:val="47DD7AD0"/>
    <w:rsid w:val="483D056E"/>
    <w:rsid w:val="48822425"/>
    <w:rsid w:val="48853CC3"/>
    <w:rsid w:val="48967C7F"/>
    <w:rsid w:val="48B84099"/>
    <w:rsid w:val="48CC7BFD"/>
    <w:rsid w:val="498F4DFA"/>
    <w:rsid w:val="4A2319E6"/>
    <w:rsid w:val="4A6C3DE6"/>
    <w:rsid w:val="4A8C1339"/>
    <w:rsid w:val="4AC912E9"/>
    <w:rsid w:val="4AE20F59"/>
    <w:rsid w:val="4B074E64"/>
    <w:rsid w:val="4BA44460"/>
    <w:rsid w:val="4C3B3017"/>
    <w:rsid w:val="4C523EBC"/>
    <w:rsid w:val="4D5F2D35"/>
    <w:rsid w:val="4D896004"/>
    <w:rsid w:val="4DC96400"/>
    <w:rsid w:val="4E853C5A"/>
    <w:rsid w:val="4E915170"/>
    <w:rsid w:val="4ECD3D05"/>
    <w:rsid w:val="4ED96B17"/>
    <w:rsid w:val="4F5368C9"/>
    <w:rsid w:val="4F6351A5"/>
    <w:rsid w:val="4F895E47"/>
    <w:rsid w:val="50962F12"/>
    <w:rsid w:val="50A32F39"/>
    <w:rsid w:val="510A120A"/>
    <w:rsid w:val="51640BCF"/>
    <w:rsid w:val="517F5754"/>
    <w:rsid w:val="519F5DF6"/>
    <w:rsid w:val="5253098E"/>
    <w:rsid w:val="52F83A10"/>
    <w:rsid w:val="53A019B1"/>
    <w:rsid w:val="53B36646"/>
    <w:rsid w:val="542D593B"/>
    <w:rsid w:val="547043E7"/>
    <w:rsid w:val="54931516"/>
    <w:rsid w:val="55055F70"/>
    <w:rsid w:val="55175CA3"/>
    <w:rsid w:val="56261B79"/>
    <w:rsid w:val="56272850"/>
    <w:rsid w:val="562F4866"/>
    <w:rsid w:val="567044CF"/>
    <w:rsid w:val="56B0015D"/>
    <w:rsid w:val="571526B6"/>
    <w:rsid w:val="57154464"/>
    <w:rsid w:val="57541431"/>
    <w:rsid w:val="581666E6"/>
    <w:rsid w:val="589E39E1"/>
    <w:rsid w:val="59605E6B"/>
    <w:rsid w:val="59710078"/>
    <w:rsid w:val="59AB1BA3"/>
    <w:rsid w:val="59C75EEA"/>
    <w:rsid w:val="59E049E6"/>
    <w:rsid w:val="5A6E2809"/>
    <w:rsid w:val="5A7140A7"/>
    <w:rsid w:val="5A751DEA"/>
    <w:rsid w:val="5AA62E48"/>
    <w:rsid w:val="5B0867BA"/>
    <w:rsid w:val="5BFE196B"/>
    <w:rsid w:val="5C0351D3"/>
    <w:rsid w:val="5C974299"/>
    <w:rsid w:val="5CA442C0"/>
    <w:rsid w:val="5CC6692D"/>
    <w:rsid w:val="5CEE5E83"/>
    <w:rsid w:val="5CF60894"/>
    <w:rsid w:val="5D526412"/>
    <w:rsid w:val="5DB20C5F"/>
    <w:rsid w:val="5DF11787"/>
    <w:rsid w:val="5E03641E"/>
    <w:rsid w:val="5E0F60B1"/>
    <w:rsid w:val="5E895E64"/>
    <w:rsid w:val="5EF64B7B"/>
    <w:rsid w:val="5F487ACD"/>
    <w:rsid w:val="5F49114F"/>
    <w:rsid w:val="5F6917F1"/>
    <w:rsid w:val="60412A5E"/>
    <w:rsid w:val="61656B01"/>
    <w:rsid w:val="61860438"/>
    <w:rsid w:val="62FD297C"/>
    <w:rsid w:val="631A0520"/>
    <w:rsid w:val="63815B89"/>
    <w:rsid w:val="63EB4ECB"/>
    <w:rsid w:val="64A55079"/>
    <w:rsid w:val="653B3C30"/>
    <w:rsid w:val="656721E0"/>
    <w:rsid w:val="65B37C6A"/>
    <w:rsid w:val="65EC0A86"/>
    <w:rsid w:val="66385109"/>
    <w:rsid w:val="66583DDD"/>
    <w:rsid w:val="672556B9"/>
    <w:rsid w:val="6740552D"/>
    <w:rsid w:val="6788395D"/>
    <w:rsid w:val="678C0773"/>
    <w:rsid w:val="678C2521"/>
    <w:rsid w:val="67953F5D"/>
    <w:rsid w:val="67B36358"/>
    <w:rsid w:val="67E73BFB"/>
    <w:rsid w:val="68071BA7"/>
    <w:rsid w:val="684828EC"/>
    <w:rsid w:val="685C0145"/>
    <w:rsid w:val="68BE2BAE"/>
    <w:rsid w:val="68C1444C"/>
    <w:rsid w:val="68E02B24"/>
    <w:rsid w:val="68F6059A"/>
    <w:rsid w:val="694258E4"/>
    <w:rsid w:val="69801C11"/>
    <w:rsid w:val="69935128"/>
    <w:rsid w:val="69BA15C7"/>
    <w:rsid w:val="69DF4B8A"/>
    <w:rsid w:val="6A75729C"/>
    <w:rsid w:val="6A8E035E"/>
    <w:rsid w:val="6AAA2146"/>
    <w:rsid w:val="6ADB7A47"/>
    <w:rsid w:val="6AEF34F2"/>
    <w:rsid w:val="6B454EC0"/>
    <w:rsid w:val="6BBB33D4"/>
    <w:rsid w:val="6BC229B5"/>
    <w:rsid w:val="6C136D6D"/>
    <w:rsid w:val="6C7641E1"/>
    <w:rsid w:val="6C9360FF"/>
    <w:rsid w:val="6CC10EBE"/>
    <w:rsid w:val="6CD40BF2"/>
    <w:rsid w:val="6CF46B9E"/>
    <w:rsid w:val="6D107750"/>
    <w:rsid w:val="6D4C4C2C"/>
    <w:rsid w:val="6EA463A2"/>
    <w:rsid w:val="6EB34837"/>
    <w:rsid w:val="6F23376B"/>
    <w:rsid w:val="6FC53D14"/>
    <w:rsid w:val="701F03D6"/>
    <w:rsid w:val="702F613F"/>
    <w:rsid w:val="70422316"/>
    <w:rsid w:val="70681130"/>
    <w:rsid w:val="70AB0BB0"/>
    <w:rsid w:val="70EB475C"/>
    <w:rsid w:val="71327C95"/>
    <w:rsid w:val="71D25EF0"/>
    <w:rsid w:val="723F4D5F"/>
    <w:rsid w:val="724636AF"/>
    <w:rsid w:val="72730565"/>
    <w:rsid w:val="72EE5E3E"/>
    <w:rsid w:val="731629DD"/>
    <w:rsid w:val="73520AC2"/>
    <w:rsid w:val="73FE47A6"/>
    <w:rsid w:val="740C0C71"/>
    <w:rsid w:val="74F11C15"/>
    <w:rsid w:val="75526B58"/>
    <w:rsid w:val="75AD3A57"/>
    <w:rsid w:val="75C5557C"/>
    <w:rsid w:val="76116A13"/>
    <w:rsid w:val="76276370"/>
    <w:rsid w:val="7641097A"/>
    <w:rsid w:val="764C7A4B"/>
    <w:rsid w:val="76832D41"/>
    <w:rsid w:val="76AD7DBE"/>
    <w:rsid w:val="773504DF"/>
    <w:rsid w:val="78153E6C"/>
    <w:rsid w:val="79BA4CCB"/>
    <w:rsid w:val="7A2A00A3"/>
    <w:rsid w:val="7A5E7D4D"/>
    <w:rsid w:val="7B18439F"/>
    <w:rsid w:val="7C105077"/>
    <w:rsid w:val="7C3C2310"/>
    <w:rsid w:val="7C4411C4"/>
    <w:rsid w:val="7C790E6E"/>
    <w:rsid w:val="7CCA16C9"/>
    <w:rsid w:val="7CE16A13"/>
    <w:rsid w:val="7D515947"/>
    <w:rsid w:val="7D910439"/>
    <w:rsid w:val="7DE1316F"/>
    <w:rsid w:val="7E1C41A7"/>
    <w:rsid w:val="7E6B47E6"/>
    <w:rsid w:val="7EA9695D"/>
    <w:rsid w:val="7F1D01D6"/>
    <w:rsid w:val="7F3E639F"/>
    <w:rsid w:val="7F755228"/>
    <w:rsid w:val="7F8A2503"/>
    <w:rsid w:val="7FA269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5"/>
    <w:next w:val="6"/>
    <w:unhideWhenUsed/>
    <w:qFormat/>
    <w:uiPriority w:val="9"/>
    <w:pPr>
      <w:keepNext/>
      <w:keepLines/>
      <w:spacing w:before="320" w:after="200"/>
      <w:outlineLvl w:val="2"/>
    </w:pPr>
    <w:rPr>
      <w:rFonts w:ascii="Arial" w:hAnsi="Arial" w:eastAsia="Arial" w:cs="Arial"/>
      <w:sz w:val="30"/>
      <w:szCs w:val="30"/>
    </w:rPr>
  </w:style>
  <w:style w:type="paragraph" w:styleId="12">
    <w:name w:val="heading 4"/>
    <w:basedOn w:val="1"/>
    <w:next w:val="13"/>
    <w:unhideWhenUsed/>
    <w:qFormat/>
    <w:uiPriority w:val="9"/>
    <w:pPr>
      <w:keepNext/>
      <w:keepLines/>
      <w:spacing w:before="320" w:after="200"/>
      <w:outlineLvl w:val="3"/>
    </w:pPr>
    <w:rPr>
      <w:rFonts w:ascii="Arial" w:hAnsi="Arial" w:eastAsia="Arial" w:cs="Arial"/>
      <w:b/>
      <w:bCs/>
      <w:sz w:val="26"/>
      <w:szCs w:val="26"/>
    </w:rPr>
  </w:style>
  <w:style w:type="paragraph" w:styleId="14">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5">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6">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7">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8">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5">
    <w:name w:val="Normal1"/>
    <w:next w:val="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
    <w:name w:val="Normal_19"/>
    <w:basedOn w:val="7"/>
    <w:next w:val="9"/>
    <w:qFormat/>
    <w:uiPriority w:val="0"/>
    <w:rPr>
      <w:rFonts w:hint="default" w:ascii="黑体" w:hAnsi="黑体" w:eastAsia="黑体" w:cs="黑体"/>
      <w:sz w:val="32"/>
      <w:szCs w:val="24"/>
      <w:lang w:val="en-US" w:eastAsia="zh-CN" w:bidi="ar-SA"/>
    </w:rPr>
  </w:style>
  <w:style w:type="paragraph" w:customStyle="1" w:styleId="7">
    <w:name w:val="正文_2_0"/>
    <w:basedOn w:val="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
    <w:name w:val="Normal_0_2"/>
    <w:qFormat/>
    <w:uiPriority w:val="0"/>
    <w:rPr>
      <w:rFonts w:hint="default" w:ascii="黑体" w:hAnsi="黑体" w:eastAsia="黑体" w:cs="黑体"/>
      <w:b/>
      <w:sz w:val="32"/>
      <w:szCs w:val="24"/>
      <w:lang w:val="en-US" w:eastAsia="zh-CN" w:bidi="ar-SA"/>
    </w:rPr>
  </w:style>
  <w:style w:type="paragraph" w:customStyle="1" w:styleId="9">
    <w:name w:val="Normal11"/>
    <w:next w:val="10"/>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10">
    <w:name w:val="Body Text First Indent1"/>
    <w:basedOn w:val="11"/>
    <w:unhideWhenUsed/>
    <w:qFormat/>
    <w:uiPriority w:val="99"/>
    <w:pPr>
      <w:ind w:firstLine="420"/>
    </w:pPr>
  </w:style>
  <w:style w:type="paragraph" w:customStyle="1" w:styleId="11">
    <w:name w:val="Body Text1"/>
    <w:basedOn w:val="9"/>
    <w:unhideWhenUsed/>
    <w:qFormat/>
    <w:uiPriority w:val="99"/>
    <w:pPr>
      <w:spacing w:after="120"/>
    </w:pPr>
  </w:style>
  <w:style w:type="paragraph" w:styleId="13">
    <w:name w:val="Normal Indent"/>
    <w:basedOn w:val="1"/>
    <w:next w:val="1"/>
    <w:qFormat/>
    <w:uiPriority w:val="0"/>
    <w:pPr>
      <w:ind w:firstLine="420"/>
    </w:pPr>
  </w:style>
  <w:style w:type="paragraph" w:styleId="19">
    <w:name w:val="toc 7"/>
    <w:basedOn w:val="1"/>
    <w:next w:val="1"/>
    <w:unhideWhenUsed/>
    <w:qFormat/>
    <w:uiPriority w:val="39"/>
    <w:pPr>
      <w:spacing w:after="57"/>
      <w:ind w:left="1701"/>
    </w:pPr>
  </w:style>
  <w:style w:type="paragraph" w:styleId="20">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1">
    <w:name w:val="annotation text"/>
    <w:basedOn w:val="1"/>
    <w:qFormat/>
    <w:uiPriority w:val="99"/>
    <w:pPr>
      <w:jc w:val="left"/>
    </w:pPr>
    <w:rPr>
      <w:rFonts w:ascii="Times New Roman" w:hAnsi="Times New Roman"/>
      <w:szCs w:val="21"/>
    </w:rPr>
  </w:style>
  <w:style w:type="paragraph" w:styleId="22">
    <w:name w:val="Body Text"/>
    <w:basedOn w:val="1"/>
    <w:next w:val="1"/>
    <w:qFormat/>
    <w:uiPriority w:val="0"/>
    <w:rPr>
      <w:rFonts w:ascii="楷体_GB2312" w:hAnsi="Arial" w:eastAsia="楷体_GB2312" w:cs="Times New Roman"/>
      <w:sz w:val="28"/>
      <w:szCs w:val="28"/>
    </w:r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qFormat/>
    <w:uiPriority w:val="0"/>
    <w:rPr>
      <w:rFonts w:ascii="宋体" w:hAnsi="Courier New" w:cs="Courier New"/>
    </w:rPr>
  </w:style>
  <w:style w:type="paragraph" w:styleId="26">
    <w:name w:val="toc 8"/>
    <w:basedOn w:val="1"/>
    <w:next w:val="1"/>
    <w:unhideWhenUsed/>
    <w:qFormat/>
    <w:uiPriority w:val="39"/>
    <w:pPr>
      <w:spacing w:after="57"/>
      <w:ind w:left="1984"/>
    </w:pPr>
  </w:style>
  <w:style w:type="paragraph" w:styleId="27">
    <w:name w:val="endnote text"/>
    <w:basedOn w:val="1"/>
    <w:semiHidden/>
    <w:unhideWhenUsed/>
    <w:qFormat/>
    <w:uiPriority w:val="99"/>
    <w:rPr>
      <w:sz w:val="20"/>
    </w:rPr>
  </w:style>
  <w:style w:type="paragraph" w:styleId="28">
    <w:name w:val="footer"/>
    <w:basedOn w:val="1"/>
    <w:unhideWhenUsed/>
    <w:qFormat/>
    <w:uiPriority w:val="99"/>
    <w:pPr>
      <w:tabs>
        <w:tab w:val="center" w:pos="7143"/>
        <w:tab w:val="right" w:pos="14287"/>
      </w:tabs>
    </w:pPr>
  </w:style>
  <w:style w:type="paragraph" w:styleId="29">
    <w:name w:val="header"/>
    <w:basedOn w:val="1"/>
    <w:unhideWhenUsed/>
    <w:qFormat/>
    <w:uiPriority w:val="99"/>
    <w:pPr>
      <w:tabs>
        <w:tab w:val="center" w:pos="7143"/>
        <w:tab w:val="right" w:pos="14287"/>
      </w:tabs>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qFormat/>
    <w:uiPriority w:val="11"/>
    <w:pPr>
      <w:spacing w:before="200" w:after="200"/>
    </w:pPr>
    <w:rPr>
      <w:sz w:val="24"/>
      <w:szCs w:val="24"/>
    </w:rPr>
  </w:style>
  <w:style w:type="paragraph" w:styleId="33">
    <w:name w:val="footnote text"/>
    <w:basedOn w:val="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semiHidden/>
    <w:unhideWhenUsed/>
    <w:qFormat/>
    <w:uiPriority w:val="99"/>
    <w:rPr>
      <w:sz w:val="24"/>
    </w:rPr>
  </w:style>
  <w:style w:type="paragraph" w:styleId="39">
    <w:name w:val="Title"/>
    <w:basedOn w:val="1"/>
    <w:next w:val="1"/>
    <w:qFormat/>
    <w:uiPriority w:val="10"/>
    <w:pPr>
      <w:spacing w:before="300" w:after="200"/>
      <w:contextualSpacing/>
    </w:pPr>
    <w:rPr>
      <w:sz w:val="48"/>
      <w:szCs w:val="48"/>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0"/>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标题二、"/>
    <w:basedOn w:val="1"/>
    <w:autoRedefine/>
    <w:qFormat/>
    <w:uiPriority w:val="99"/>
    <w:pPr>
      <w:spacing w:line="360" w:lineRule="auto"/>
      <w:ind w:firstLine="200"/>
      <w:outlineLvl w:val="2"/>
    </w:pPr>
    <w:rPr>
      <w:rFonts w:ascii="宋体" w:hAnsi="宋体"/>
      <w:b/>
      <w:szCs w:val="21"/>
    </w:rPr>
  </w:style>
  <w:style w:type="paragraph" w:customStyle="1" w:styleId="48">
    <w:name w:val="正文首行缩进1"/>
    <w:basedOn w:val="49"/>
    <w:qFormat/>
    <w:uiPriority w:val="0"/>
    <w:pPr>
      <w:spacing w:after="120" w:line="240" w:lineRule="auto"/>
      <w:ind w:firstLine="100"/>
    </w:pPr>
    <w:rPr>
      <w:rFonts w:ascii="Times New Roman" w:hAnsi="Times New Roman" w:eastAsia="宋体"/>
      <w:sz w:val="21"/>
    </w:rPr>
  </w:style>
  <w:style w:type="paragraph" w:customStyle="1" w:styleId="49">
    <w:name w:val="正文文本1"/>
    <w:basedOn w:val="1"/>
    <w:next w:val="48"/>
    <w:qFormat/>
    <w:uiPriority w:val="0"/>
    <w:pPr>
      <w:spacing w:line="60" w:lineRule="auto"/>
    </w:pPr>
    <w:rPr>
      <w:rFonts w:ascii="仿宋_GB2312" w:eastAsia="仿宋_GB2312"/>
      <w:sz w:val="32"/>
    </w:rPr>
  </w:style>
  <w:style w:type="table" w:customStyle="1" w:styleId="50">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1">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2">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6">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0">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3">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5">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7">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8">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9">
    <w:name w:val="TOC Heading"/>
    <w:unhideWhenUsed/>
    <w:qFormat/>
    <w:uiPriority w:val="39"/>
    <w:rPr>
      <w:rFonts w:hint="default" w:ascii="Times New Roman" w:hAnsi="Times New Roman" w:eastAsia="宋体" w:cs="Times New Roman"/>
    </w:rPr>
  </w:style>
  <w:style w:type="paragraph" w:customStyle="1" w:styleId="70">
    <w:name w:val="脚注文本1"/>
    <w:basedOn w:val="1"/>
    <w:qFormat/>
    <w:uiPriority w:val="0"/>
    <w:pPr>
      <w:jc w:val="left"/>
    </w:pPr>
    <w:rPr>
      <w:rFonts w:eastAsia="Times New Roman"/>
      <w:sz w:val="18"/>
      <w:szCs w:val="24"/>
    </w:rPr>
  </w:style>
  <w:style w:type="paragraph" w:customStyle="1" w:styleId="71">
    <w:name w:val="正文1"/>
    <w:next w:val="10"/>
    <w:qFormat/>
    <w:uiPriority w:val="0"/>
    <w:rPr>
      <w:rFonts w:hint="default" w:ascii="Times New Roman" w:hAnsi="Times New Roman" w:eastAsia="Times New Roman" w:cs="Times New Roman"/>
      <w:sz w:val="24"/>
      <w:szCs w:val="24"/>
      <w:lang w:val="en-US" w:eastAsia="zh-CN" w:bidi="ar-SA"/>
    </w:rPr>
  </w:style>
  <w:style w:type="paragraph" w:styleId="72">
    <w:name w:val="List Paragraph"/>
    <w:basedOn w:val="1"/>
    <w:qFormat/>
    <w:uiPriority w:val="34"/>
    <w:pPr>
      <w:ind w:left="720"/>
      <w:contextualSpacing/>
    </w:pPr>
  </w:style>
  <w:style w:type="paragraph" w:styleId="73">
    <w:name w:val="No Spacing"/>
    <w:qFormat/>
    <w:uiPriority w:val="1"/>
    <w:rPr>
      <w:rFonts w:hint="default" w:ascii="Times New Roman" w:hAnsi="Times New Roman" w:eastAsia="宋体" w:cs="Times New Roman"/>
      <w:lang w:val="en-US" w:eastAsia="zh-CN" w:bidi="ar-SA"/>
    </w:rPr>
  </w:style>
  <w:style w:type="paragraph" w:styleId="74">
    <w:name w:val="Quote"/>
    <w:basedOn w:val="1"/>
    <w:next w:val="1"/>
    <w:qFormat/>
    <w:uiPriority w:val="29"/>
    <w:pPr>
      <w:ind w:left="720" w:right="720"/>
    </w:pPr>
    <w:rPr>
      <w:i/>
    </w:rPr>
  </w:style>
  <w:style w:type="paragraph" w:styleId="75">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76">
    <w:name w:val="标题 11"/>
    <w:basedOn w:val="1"/>
    <w:next w:val="1"/>
    <w:link w:val="88"/>
    <w:qFormat/>
    <w:uiPriority w:val="0"/>
    <w:pPr>
      <w:keepNext/>
      <w:keepLines/>
      <w:spacing w:before="480" w:after="200"/>
      <w:outlineLvl w:val="0"/>
    </w:pPr>
    <w:rPr>
      <w:rFonts w:ascii="Arial" w:hAnsi="Arial" w:eastAsia="Arial" w:cs="Arial"/>
      <w:sz w:val="40"/>
      <w:szCs w:val="40"/>
    </w:rPr>
  </w:style>
  <w:style w:type="paragraph" w:customStyle="1" w:styleId="77">
    <w:name w:val="标题 211"/>
    <w:basedOn w:val="1"/>
    <w:next w:val="78"/>
    <w:link w:val="89"/>
    <w:qFormat/>
    <w:uiPriority w:val="0"/>
    <w:pPr>
      <w:keepNext/>
      <w:keepLines/>
      <w:spacing w:before="260" w:after="260" w:line="413" w:lineRule="auto"/>
      <w:outlineLvl w:val="1"/>
    </w:pPr>
    <w:rPr>
      <w:rFonts w:ascii="Arial" w:hAnsi="Arial" w:eastAsia="黑体"/>
      <w:b/>
      <w:sz w:val="32"/>
      <w:szCs w:val="20"/>
    </w:rPr>
  </w:style>
  <w:style w:type="paragraph" w:customStyle="1" w:styleId="78">
    <w:name w:val="正文缩进11"/>
    <w:basedOn w:val="1"/>
    <w:link w:val="90"/>
    <w:qFormat/>
    <w:uiPriority w:val="0"/>
    <w:pPr>
      <w:ind w:firstLine="420"/>
    </w:pPr>
    <w:rPr>
      <w:rFonts w:ascii="宋体"/>
      <w:color w:val="000000"/>
      <w:sz w:val="24"/>
      <w:szCs w:val="20"/>
    </w:rPr>
  </w:style>
  <w:style w:type="paragraph" w:customStyle="1" w:styleId="79">
    <w:name w:val="标题 311"/>
    <w:basedOn w:val="5"/>
    <w:next w:val="6"/>
    <w:link w:val="91"/>
    <w:qFormat/>
    <w:uiPriority w:val="0"/>
    <w:pPr>
      <w:keepNext/>
      <w:keepLines/>
      <w:spacing w:before="320" w:after="200"/>
      <w:outlineLvl w:val="2"/>
    </w:pPr>
    <w:rPr>
      <w:rFonts w:ascii="Arial" w:hAnsi="Arial" w:eastAsia="Arial" w:cs="Arial"/>
      <w:sz w:val="30"/>
      <w:szCs w:val="30"/>
    </w:rPr>
  </w:style>
  <w:style w:type="paragraph" w:customStyle="1" w:styleId="80">
    <w:name w:val="标题 411"/>
    <w:basedOn w:val="1"/>
    <w:next w:val="1"/>
    <w:link w:val="92"/>
    <w:qFormat/>
    <w:uiPriority w:val="0"/>
    <w:pPr>
      <w:keepNext/>
      <w:jc w:val="center"/>
      <w:outlineLvl w:val="3"/>
    </w:pPr>
    <w:rPr>
      <w:rFonts w:eastAsia="新宋体"/>
      <w:sz w:val="30"/>
      <w:szCs w:val="21"/>
    </w:rPr>
  </w:style>
  <w:style w:type="paragraph" w:customStyle="1" w:styleId="81">
    <w:name w:val="标题 51"/>
    <w:basedOn w:val="1"/>
    <w:next w:val="1"/>
    <w:link w:val="93"/>
    <w:qFormat/>
    <w:uiPriority w:val="0"/>
    <w:pPr>
      <w:keepNext/>
      <w:keepLines/>
      <w:spacing w:before="320" w:after="200"/>
      <w:outlineLvl w:val="4"/>
    </w:pPr>
    <w:rPr>
      <w:rFonts w:ascii="Arial" w:hAnsi="Arial" w:eastAsia="Arial" w:cs="Arial"/>
      <w:b/>
      <w:bCs/>
      <w:sz w:val="24"/>
      <w:szCs w:val="24"/>
    </w:rPr>
  </w:style>
  <w:style w:type="paragraph" w:customStyle="1" w:styleId="82">
    <w:name w:val="标题 61"/>
    <w:basedOn w:val="1"/>
    <w:next w:val="1"/>
    <w:link w:val="94"/>
    <w:qFormat/>
    <w:uiPriority w:val="0"/>
    <w:pPr>
      <w:keepNext/>
      <w:keepLines/>
      <w:spacing w:before="320" w:after="200"/>
      <w:outlineLvl w:val="5"/>
    </w:pPr>
    <w:rPr>
      <w:rFonts w:ascii="Arial" w:hAnsi="Arial" w:eastAsia="Arial" w:cs="Arial"/>
      <w:b/>
      <w:bCs/>
      <w:sz w:val="22"/>
    </w:rPr>
  </w:style>
  <w:style w:type="paragraph" w:customStyle="1" w:styleId="83">
    <w:name w:val="标题 71"/>
    <w:basedOn w:val="1"/>
    <w:next w:val="1"/>
    <w:link w:val="95"/>
    <w:qFormat/>
    <w:uiPriority w:val="0"/>
    <w:pPr>
      <w:keepNext/>
      <w:keepLines/>
      <w:spacing w:before="320" w:after="200"/>
      <w:outlineLvl w:val="6"/>
    </w:pPr>
    <w:rPr>
      <w:rFonts w:ascii="Arial" w:hAnsi="Arial" w:eastAsia="Arial" w:cs="Arial"/>
      <w:b/>
      <w:bCs/>
      <w:i/>
      <w:iCs/>
      <w:sz w:val="22"/>
    </w:rPr>
  </w:style>
  <w:style w:type="paragraph" w:customStyle="1" w:styleId="84">
    <w:name w:val="标题 81"/>
    <w:basedOn w:val="1"/>
    <w:next w:val="1"/>
    <w:link w:val="96"/>
    <w:qFormat/>
    <w:uiPriority w:val="0"/>
    <w:pPr>
      <w:keepNext/>
      <w:keepLines/>
      <w:spacing w:before="320" w:after="200"/>
      <w:outlineLvl w:val="7"/>
    </w:pPr>
    <w:rPr>
      <w:rFonts w:ascii="Arial" w:hAnsi="Arial" w:eastAsia="Arial" w:cs="Arial"/>
      <w:i/>
      <w:iCs/>
      <w:sz w:val="22"/>
    </w:rPr>
  </w:style>
  <w:style w:type="paragraph" w:customStyle="1" w:styleId="85">
    <w:name w:val="标题 91"/>
    <w:basedOn w:val="1"/>
    <w:next w:val="1"/>
    <w:link w:val="97"/>
    <w:qFormat/>
    <w:uiPriority w:val="0"/>
    <w:pPr>
      <w:keepNext/>
      <w:keepLines/>
      <w:spacing w:before="320" w:after="200"/>
      <w:outlineLvl w:val="8"/>
    </w:pPr>
    <w:rPr>
      <w:rFonts w:ascii="Arial" w:hAnsi="Arial" w:eastAsia="Arial" w:cs="Arial"/>
      <w:i/>
      <w:iCs/>
      <w:szCs w:val="21"/>
    </w:rPr>
  </w:style>
  <w:style w:type="character" w:customStyle="1" w:styleId="86">
    <w:name w:val="默认段落字体1"/>
    <w:unhideWhenUsed/>
    <w:qFormat/>
    <w:uiPriority w:val="1"/>
  </w:style>
  <w:style w:type="table" w:customStyle="1" w:styleId="87">
    <w:name w:val="普通表格1"/>
    <w:unhideWhenUsed/>
    <w:qFormat/>
    <w:uiPriority w:val="99"/>
    <w:tblPr>
      <w:tblCellMar>
        <w:top w:w="0" w:type="dxa"/>
        <w:left w:w="0" w:type="dxa"/>
        <w:bottom w:w="0" w:type="dxa"/>
        <w:right w:w="0" w:type="dxa"/>
      </w:tblCellMar>
    </w:tblPr>
  </w:style>
  <w:style w:type="character" w:customStyle="1" w:styleId="88">
    <w:name w:val="标题 1 字符"/>
    <w:link w:val="76"/>
    <w:qFormat/>
    <w:uiPriority w:val="0"/>
    <w:rPr>
      <w:rFonts w:ascii="Arial" w:hAnsi="Arial" w:eastAsia="Arial" w:cs="Arial"/>
      <w:sz w:val="40"/>
      <w:szCs w:val="40"/>
    </w:rPr>
  </w:style>
  <w:style w:type="character" w:customStyle="1" w:styleId="89">
    <w:name w:val="标题 2 字符"/>
    <w:link w:val="77"/>
    <w:qFormat/>
    <w:uiPriority w:val="0"/>
    <w:rPr>
      <w:rFonts w:ascii="Arial" w:hAnsi="Arial" w:eastAsia="Arial" w:cs="Arial"/>
      <w:sz w:val="34"/>
    </w:rPr>
  </w:style>
  <w:style w:type="character" w:customStyle="1" w:styleId="90">
    <w:name w:val="正文缩进 字符"/>
    <w:link w:val="78"/>
    <w:qFormat/>
    <w:uiPriority w:val="0"/>
    <w:rPr>
      <w:rFonts w:ascii="宋体" w:hAnsi="Calibri"/>
      <w:color w:val="000000"/>
      <w:sz w:val="24"/>
    </w:rPr>
  </w:style>
  <w:style w:type="character" w:customStyle="1" w:styleId="91">
    <w:name w:val="标题 3 字符"/>
    <w:link w:val="79"/>
    <w:qFormat/>
    <w:uiPriority w:val="0"/>
    <w:rPr>
      <w:rFonts w:ascii="Arial" w:hAnsi="Arial" w:eastAsia="Arial" w:cs="Arial"/>
      <w:sz w:val="30"/>
      <w:szCs w:val="30"/>
    </w:rPr>
  </w:style>
  <w:style w:type="character" w:customStyle="1" w:styleId="92">
    <w:name w:val="标题 4 字符"/>
    <w:link w:val="80"/>
    <w:qFormat/>
    <w:uiPriority w:val="0"/>
    <w:rPr>
      <w:rFonts w:ascii="Arial" w:hAnsi="Arial" w:eastAsia="Arial" w:cs="Arial"/>
      <w:b/>
      <w:bCs/>
      <w:sz w:val="26"/>
      <w:szCs w:val="26"/>
    </w:rPr>
  </w:style>
  <w:style w:type="character" w:customStyle="1" w:styleId="93">
    <w:name w:val="标题 5 字符"/>
    <w:link w:val="81"/>
    <w:qFormat/>
    <w:uiPriority w:val="0"/>
    <w:rPr>
      <w:rFonts w:ascii="Arial" w:hAnsi="Arial" w:eastAsia="Arial" w:cs="Arial"/>
      <w:b/>
      <w:bCs/>
      <w:sz w:val="24"/>
      <w:szCs w:val="24"/>
    </w:rPr>
  </w:style>
  <w:style w:type="character" w:customStyle="1" w:styleId="94">
    <w:name w:val="标题 6 字符"/>
    <w:link w:val="82"/>
    <w:qFormat/>
    <w:uiPriority w:val="0"/>
    <w:rPr>
      <w:rFonts w:ascii="Arial" w:hAnsi="Arial" w:eastAsia="Arial" w:cs="Arial"/>
      <w:b/>
      <w:bCs/>
      <w:sz w:val="22"/>
      <w:szCs w:val="22"/>
    </w:rPr>
  </w:style>
  <w:style w:type="character" w:customStyle="1" w:styleId="95">
    <w:name w:val="标题 7 字符"/>
    <w:link w:val="83"/>
    <w:qFormat/>
    <w:uiPriority w:val="0"/>
    <w:rPr>
      <w:rFonts w:ascii="Arial" w:hAnsi="Arial" w:eastAsia="Arial" w:cs="Arial"/>
      <w:b/>
      <w:bCs/>
      <w:i/>
      <w:iCs/>
      <w:sz w:val="22"/>
      <w:szCs w:val="22"/>
    </w:rPr>
  </w:style>
  <w:style w:type="character" w:customStyle="1" w:styleId="96">
    <w:name w:val="标题 8 字符"/>
    <w:link w:val="84"/>
    <w:qFormat/>
    <w:uiPriority w:val="0"/>
    <w:rPr>
      <w:rFonts w:ascii="Arial" w:hAnsi="Arial" w:eastAsia="Arial" w:cs="Arial"/>
      <w:i/>
      <w:iCs/>
      <w:sz w:val="22"/>
      <w:szCs w:val="22"/>
    </w:rPr>
  </w:style>
  <w:style w:type="character" w:customStyle="1" w:styleId="97">
    <w:name w:val="标题 9 字符"/>
    <w:link w:val="85"/>
    <w:qFormat/>
    <w:uiPriority w:val="0"/>
    <w:rPr>
      <w:rFonts w:ascii="Arial" w:hAnsi="Arial" w:eastAsia="Arial" w:cs="Arial"/>
      <w:i/>
      <w:iCs/>
      <w:sz w:val="21"/>
      <w:szCs w:val="21"/>
    </w:rPr>
  </w:style>
  <w:style w:type="paragraph" w:customStyle="1" w:styleId="98">
    <w:name w:val="列表 31"/>
    <w:basedOn w:val="1"/>
    <w:qFormat/>
    <w:uiPriority w:val="0"/>
    <w:pPr>
      <w:ind w:left="100" w:hanging="200"/>
    </w:pPr>
    <w:rPr>
      <w:rFonts w:ascii="Times New Roman" w:hAnsi="Times New Roman"/>
      <w:szCs w:val="21"/>
    </w:rPr>
  </w:style>
  <w:style w:type="paragraph" w:customStyle="1" w:styleId="99">
    <w:name w:val="目录 71"/>
    <w:basedOn w:val="1"/>
    <w:next w:val="1"/>
    <w:unhideWhenUsed/>
    <w:qFormat/>
    <w:uiPriority w:val="0"/>
    <w:pPr>
      <w:spacing w:after="57"/>
      <w:ind w:left="1701"/>
    </w:pPr>
  </w:style>
  <w:style w:type="paragraph" w:customStyle="1" w:styleId="100">
    <w:name w:val="题注1"/>
    <w:basedOn w:val="1"/>
    <w:next w:val="1"/>
    <w:qFormat/>
    <w:uiPriority w:val="35"/>
    <w:pPr>
      <w:spacing w:line="276" w:lineRule="auto"/>
    </w:pPr>
    <w:rPr>
      <w:b/>
      <w:bCs/>
      <w:color w:val="5B9BD5"/>
      <w:sz w:val="18"/>
      <w:szCs w:val="18"/>
    </w:rPr>
  </w:style>
  <w:style w:type="paragraph" w:customStyle="1" w:styleId="101">
    <w:name w:val="文档结构图1"/>
    <w:basedOn w:val="1"/>
    <w:link w:val="102"/>
    <w:semiHidden/>
    <w:qFormat/>
    <w:uiPriority w:val="0"/>
    <w:pPr>
      <w:shd w:val="clear" w:color="auto" w:fill="000080"/>
    </w:pPr>
    <w:rPr>
      <w:rFonts w:ascii="Times New Roman" w:hAnsi="Times New Roman"/>
      <w:szCs w:val="21"/>
    </w:rPr>
  </w:style>
  <w:style w:type="character" w:customStyle="1" w:styleId="102">
    <w:name w:val="文档结构图 字符"/>
    <w:link w:val="101"/>
    <w:semiHidden/>
    <w:qFormat/>
    <w:uiPriority w:val="0"/>
    <w:rPr>
      <w:sz w:val="21"/>
      <w:szCs w:val="21"/>
      <w:shd w:val="clear" w:color="auto" w:fill="000080"/>
    </w:rPr>
  </w:style>
  <w:style w:type="paragraph" w:customStyle="1" w:styleId="103">
    <w:name w:val="批注文字1"/>
    <w:basedOn w:val="1"/>
    <w:link w:val="104"/>
    <w:semiHidden/>
    <w:qFormat/>
    <w:uiPriority w:val="0"/>
    <w:pPr>
      <w:jc w:val="left"/>
    </w:pPr>
    <w:rPr>
      <w:rFonts w:ascii="Times New Roman" w:hAnsi="Times New Roman"/>
      <w:szCs w:val="21"/>
    </w:rPr>
  </w:style>
  <w:style w:type="character" w:customStyle="1" w:styleId="104">
    <w:name w:val="批注文字 字符"/>
    <w:link w:val="103"/>
    <w:semiHidden/>
    <w:qFormat/>
    <w:uiPriority w:val="0"/>
    <w:rPr>
      <w:sz w:val="21"/>
      <w:szCs w:val="21"/>
    </w:rPr>
  </w:style>
  <w:style w:type="paragraph" w:customStyle="1" w:styleId="105">
    <w:name w:val="正文文本 31"/>
    <w:basedOn w:val="1"/>
    <w:link w:val="106"/>
    <w:qFormat/>
    <w:uiPriority w:val="0"/>
    <w:rPr>
      <w:rFonts w:ascii="仿宋_GB2312" w:hAnsi="Arial" w:eastAsia="仿宋_GB2312"/>
      <w:sz w:val="32"/>
      <w:szCs w:val="32"/>
    </w:rPr>
  </w:style>
  <w:style w:type="character" w:customStyle="1" w:styleId="106">
    <w:name w:val="正文文本 3 字符"/>
    <w:link w:val="105"/>
    <w:qFormat/>
    <w:uiPriority w:val="0"/>
    <w:rPr>
      <w:rFonts w:ascii="仿宋_GB2312" w:hAnsi="Arial" w:eastAsia="仿宋_GB2312"/>
      <w:sz w:val="32"/>
      <w:szCs w:val="32"/>
    </w:rPr>
  </w:style>
  <w:style w:type="paragraph" w:customStyle="1" w:styleId="107">
    <w:name w:val="正文文本111"/>
    <w:basedOn w:val="1"/>
    <w:semiHidden/>
    <w:qFormat/>
    <w:uiPriority w:val="0"/>
    <w:rPr>
      <w:rFonts w:ascii="仿宋" w:hAnsi="仿宋" w:eastAsia="仿宋" w:cs="仿宋"/>
      <w:sz w:val="32"/>
      <w:szCs w:val="32"/>
      <w:lang w:eastAsia="en-US"/>
    </w:rPr>
  </w:style>
  <w:style w:type="paragraph" w:customStyle="1" w:styleId="108">
    <w:name w:val="正文文本缩进11"/>
    <w:basedOn w:val="1"/>
    <w:link w:val="109"/>
    <w:qFormat/>
    <w:uiPriority w:val="0"/>
    <w:pPr>
      <w:ind w:firstLine="225"/>
    </w:pPr>
    <w:rPr>
      <w:rFonts w:ascii="仿宋_GB2312" w:eastAsia="仿宋_GB2312"/>
      <w:sz w:val="32"/>
    </w:rPr>
  </w:style>
  <w:style w:type="character" w:customStyle="1" w:styleId="109">
    <w:name w:val="正文文本缩进 字符1"/>
    <w:link w:val="108"/>
    <w:qFormat/>
    <w:uiPriority w:val="0"/>
    <w:rPr>
      <w:rFonts w:ascii="仿宋_GB2312" w:hAnsi="Calibri" w:eastAsia="仿宋_GB2312"/>
      <w:sz w:val="32"/>
      <w:szCs w:val="22"/>
    </w:rPr>
  </w:style>
  <w:style w:type="paragraph" w:customStyle="1" w:styleId="110">
    <w:name w:val="列表 21"/>
    <w:basedOn w:val="1"/>
    <w:qFormat/>
    <w:uiPriority w:val="0"/>
    <w:pPr>
      <w:ind w:left="100" w:hanging="200"/>
    </w:pPr>
    <w:rPr>
      <w:rFonts w:ascii="Times New Roman" w:hAnsi="Times New Roman"/>
      <w:szCs w:val="21"/>
    </w:rPr>
  </w:style>
  <w:style w:type="paragraph" w:customStyle="1" w:styleId="111">
    <w:name w:val="目录 51"/>
    <w:basedOn w:val="1"/>
    <w:next w:val="1"/>
    <w:unhideWhenUsed/>
    <w:qFormat/>
    <w:uiPriority w:val="0"/>
    <w:pPr>
      <w:spacing w:after="57"/>
      <w:ind w:left="1134"/>
    </w:pPr>
  </w:style>
  <w:style w:type="paragraph" w:customStyle="1" w:styleId="112">
    <w:name w:val="目录 31"/>
    <w:basedOn w:val="1"/>
    <w:next w:val="1"/>
    <w:unhideWhenUsed/>
    <w:qFormat/>
    <w:uiPriority w:val="0"/>
    <w:pPr>
      <w:spacing w:after="57"/>
      <w:ind w:left="567"/>
    </w:pPr>
  </w:style>
  <w:style w:type="paragraph" w:customStyle="1" w:styleId="113">
    <w:name w:val="纯文本11"/>
    <w:basedOn w:val="1"/>
    <w:link w:val="114"/>
    <w:qFormat/>
    <w:uiPriority w:val="0"/>
    <w:rPr>
      <w:rFonts w:ascii="宋体" w:hAnsi="Courier New" w:cs="Courier New"/>
      <w:szCs w:val="21"/>
    </w:rPr>
  </w:style>
  <w:style w:type="character" w:customStyle="1" w:styleId="114">
    <w:name w:val="纯文本 字符"/>
    <w:link w:val="113"/>
    <w:qFormat/>
    <w:uiPriority w:val="0"/>
    <w:rPr>
      <w:rFonts w:ascii="宋体" w:hAnsi="Courier New" w:cs="Courier New"/>
      <w:sz w:val="21"/>
      <w:szCs w:val="21"/>
    </w:rPr>
  </w:style>
  <w:style w:type="paragraph" w:customStyle="1" w:styleId="115">
    <w:name w:val="目录 81"/>
    <w:basedOn w:val="1"/>
    <w:next w:val="1"/>
    <w:unhideWhenUsed/>
    <w:qFormat/>
    <w:uiPriority w:val="0"/>
    <w:pPr>
      <w:spacing w:after="57"/>
      <w:ind w:left="1984"/>
    </w:pPr>
  </w:style>
  <w:style w:type="paragraph" w:customStyle="1" w:styleId="116">
    <w:name w:val="日期1"/>
    <w:basedOn w:val="1"/>
    <w:next w:val="1"/>
    <w:link w:val="117"/>
    <w:qFormat/>
    <w:uiPriority w:val="0"/>
    <w:rPr>
      <w:rFonts w:ascii="Times New Roman" w:hAnsi="Times New Roman"/>
      <w:sz w:val="24"/>
      <w:szCs w:val="24"/>
    </w:rPr>
  </w:style>
  <w:style w:type="character" w:customStyle="1" w:styleId="117">
    <w:name w:val="日期 字符"/>
    <w:link w:val="116"/>
    <w:qFormat/>
    <w:uiPriority w:val="0"/>
    <w:rPr>
      <w:sz w:val="24"/>
      <w:szCs w:val="24"/>
    </w:rPr>
  </w:style>
  <w:style w:type="paragraph" w:customStyle="1" w:styleId="118">
    <w:name w:val="正文文本缩进 21"/>
    <w:basedOn w:val="1"/>
    <w:link w:val="119"/>
    <w:qFormat/>
    <w:uiPriority w:val="0"/>
    <w:pPr>
      <w:ind w:left="630" w:firstLine="645"/>
    </w:pPr>
    <w:rPr>
      <w:rFonts w:ascii="Arial" w:hAnsi="Arial" w:eastAsia="仿宋_GB2312" w:cs="Arial"/>
      <w:sz w:val="32"/>
      <w:szCs w:val="32"/>
    </w:rPr>
  </w:style>
  <w:style w:type="character" w:customStyle="1" w:styleId="119">
    <w:name w:val="正文文本缩进 2 字符"/>
    <w:link w:val="118"/>
    <w:qFormat/>
    <w:uiPriority w:val="0"/>
    <w:rPr>
      <w:rFonts w:ascii="Arial" w:hAnsi="Arial" w:eastAsia="仿宋_GB2312" w:cs="Arial"/>
      <w:sz w:val="32"/>
      <w:szCs w:val="32"/>
    </w:rPr>
  </w:style>
  <w:style w:type="paragraph" w:customStyle="1" w:styleId="120">
    <w:name w:val="尾注文本1"/>
    <w:basedOn w:val="1"/>
    <w:link w:val="121"/>
    <w:unhideWhenUsed/>
    <w:qFormat/>
    <w:uiPriority w:val="99"/>
    <w:rPr>
      <w:sz w:val="20"/>
    </w:rPr>
  </w:style>
  <w:style w:type="character" w:customStyle="1" w:styleId="121">
    <w:name w:val="尾注文本 字符"/>
    <w:link w:val="120"/>
    <w:qFormat/>
    <w:uiPriority w:val="99"/>
    <w:rPr>
      <w:sz w:val="20"/>
    </w:rPr>
  </w:style>
  <w:style w:type="paragraph" w:customStyle="1" w:styleId="122">
    <w:name w:val="批注框文本1"/>
    <w:basedOn w:val="1"/>
    <w:link w:val="123"/>
    <w:qFormat/>
    <w:uiPriority w:val="0"/>
    <w:rPr>
      <w:rFonts w:ascii="Times New Roman" w:hAnsi="Times New Roman"/>
      <w:sz w:val="18"/>
      <w:szCs w:val="18"/>
    </w:rPr>
  </w:style>
  <w:style w:type="character" w:customStyle="1" w:styleId="123">
    <w:name w:val="批注框文本 字符"/>
    <w:link w:val="122"/>
    <w:qFormat/>
    <w:uiPriority w:val="0"/>
    <w:rPr>
      <w:sz w:val="18"/>
      <w:szCs w:val="18"/>
    </w:rPr>
  </w:style>
  <w:style w:type="paragraph" w:customStyle="1" w:styleId="124">
    <w:name w:val="页脚11"/>
    <w:basedOn w:val="1"/>
    <w:link w:val="125"/>
    <w:qFormat/>
    <w:uiPriority w:val="99"/>
    <w:pPr>
      <w:tabs>
        <w:tab w:val="center" w:pos="4153"/>
        <w:tab w:val="right" w:pos="8306"/>
      </w:tabs>
      <w:jc w:val="left"/>
    </w:pPr>
    <w:rPr>
      <w:sz w:val="18"/>
      <w:szCs w:val="18"/>
    </w:rPr>
  </w:style>
  <w:style w:type="character" w:customStyle="1" w:styleId="125">
    <w:name w:val="页脚 字符"/>
    <w:link w:val="124"/>
    <w:qFormat/>
    <w:uiPriority w:val="99"/>
  </w:style>
  <w:style w:type="paragraph" w:customStyle="1" w:styleId="126">
    <w:name w:val="页眉1"/>
    <w:basedOn w:val="1"/>
    <w:link w:val="127"/>
    <w:qFormat/>
    <w:uiPriority w:val="0"/>
    <w:pPr>
      <w:tabs>
        <w:tab w:val="center" w:pos="4153"/>
        <w:tab w:val="right" w:pos="8306"/>
      </w:tabs>
      <w:jc w:val="center"/>
    </w:pPr>
    <w:rPr>
      <w:sz w:val="18"/>
      <w:szCs w:val="18"/>
    </w:rPr>
  </w:style>
  <w:style w:type="character" w:customStyle="1" w:styleId="127">
    <w:name w:val="页眉 字符"/>
    <w:link w:val="126"/>
    <w:qFormat/>
    <w:uiPriority w:val="0"/>
    <w:rPr>
      <w:rFonts w:ascii="Calibri" w:hAnsi="Calibri"/>
      <w:sz w:val="18"/>
      <w:szCs w:val="18"/>
    </w:rPr>
  </w:style>
  <w:style w:type="paragraph" w:customStyle="1" w:styleId="128">
    <w:name w:val="目录 11"/>
    <w:basedOn w:val="1"/>
    <w:next w:val="1"/>
    <w:qFormat/>
    <w:uiPriority w:val="0"/>
    <w:pPr>
      <w:spacing w:before="120" w:after="120"/>
      <w:jc w:val="left"/>
    </w:pPr>
    <w:rPr>
      <w:rFonts w:cs="Calibri"/>
      <w:b/>
      <w:bCs/>
      <w:caps/>
      <w:sz w:val="20"/>
      <w:szCs w:val="20"/>
    </w:rPr>
  </w:style>
  <w:style w:type="paragraph" w:customStyle="1" w:styleId="129">
    <w:name w:val="目录 41"/>
    <w:basedOn w:val="1"/>
    <w:next w:val="1"/>
    <w:unhideWhenUsed/>
    <w:qFormat/>
    <w:uiPriority w:val="0"/>
    <w:pPr>
      <w:spacing w:after="57"/>
      <w:ind w:left="850"/>
    </w:pPr>
  </w:style>
  <w:style w:type="paragraph" w:customStyle="1" w:styleId="130">
    <w:name w:val="副标题1"/>
    <w:basedOn w:val="1"/>
    <w:next w:val="1"/>
    <w:link w:val="131"/>
    <w:qFormat/>
    <w:uiPriority w:val="11"/>
    <w:pPr>
      <w:spacing w:before="200" w:after="200"/>
    </w:pPr>
    <w:rPr>
      <w:sz w:val="24"/>
      <w:szCs w:val="24"/>
    </w:rPr>
  </w:style>
  <w:style w:type="character" w:customStyle="1" w:styleId="131">
    <w:name w:val="副标题 字符"/>
    <w:link w:val="130"/>
    <w:qFormat/>
    <w:uiPriority w:val="11"/>
    <w:rPr>
      <w:sz w:val="24"/>
      <w:szCs w:val="24"/>
    </w:rPr>
  </w:style>
  <w:style w:type="paragraph" w:customStyle="1" w:styleId="132">
    <w:name w:val="列表1"/>
    <w:basedOn w:val="1"/>
    <w:qFormat/>
    <w:uiPriority w:val="0"/>
    <w:pPr>
      <w:ind w:left="200" w:hanging="200"/>
    </w:pPr>
    <w:rPr>
      <w:rFonts w:ascii="Times New Roman" w:hAnsi="Times New Roman"/>
      <w:szCs w:val="21"/>
    </w:rPr>
  </w:style>
  <w:style w:type="paragraph" w:customStyle="1" w:styleId="133">
    <w:name w:val="脚注文本11"/>
    <w:basedOn w:val="1"/>
    <w:link w:val="134"/>
    <w:unhideWhenUsed/>
    <w:qFormat/>
    <w:uiPriority w:val="99"/>
    <w:pPr>
      <w:spacing w:after="40"/>
    </w:pPr>
    <w:rPr>
      <w:sz w:val="18"/>
    </w:rPr>
  </w:style>
  <w:style w:type="character" w:customStyle="1" w:styleId="134">
    <w:name w:val="脚注文本 字符"/>
    <w:link w:val="133"/>
    <w:qFormat/>
    <w:uiPriority w:val="99"/>
    <w:rPr>
      <w:sz w:val="18"/>
    </w:rPr>
  </w:style>
  <w:style w:type="paragraph" w:customStyle="1" w:styleId="135">
    <w:name w:val="目录 61"/>
    <w:basedOn w:val="1"/>
    <w:next w:val="1"/>
    <w:unhideWhenUsed/>
    <w:qFormat/>
    <w:uiPriority w:val="0"/>
    <w:pPr>
      <w:spacing w:after="57"/>
      <w:ind w:left="1417"/>
    </w:pPr>
  </w:style>
  <w:style w:type="paragraph" w:customStyle="1" w:styleId="136">
    <w:name w:val="正文文本缩进 31"/>
    <w:basedOn w:val="1"/>
    <w:link w:val="137"/>
    <w:qFormat/>
    <w:uiPriority w:val="0"/>
    <w:pPr>
      <w:ind w:left="645" w:firstLine="645"/>
    </w:pPr>
    <w:rPr>
      <w:rFonts w:ascii="Arial" w:hAnsi="Arial" w:eastAsia="仿宋_GB2312" w:cs="Arial"/>
      <w:color w:val="FFFF00"/>
      <w:sz w:val="32"/>
      <w:szCs w:val="32"/>
    </w:rPr>
  </w:style>
  <w:style w:type="character" w:customStyle="1" w:styleId="137">
    <w:name w:val="正文文本缩进 3 字符"/>
    <w:link w:val="136"/>
    <w:qFormat/>
    <w:uiPriority w:val="0"/>
    <w:rPr>
      <w:rFonts w:ascii="Arial" w:hAnsi="Arial" w:eastAsia="仿宋_GB2312" w:cs="Arial"/>
      <w:color w:val="FFFF00"/>
      <w:sz w:val="32"/>
      <w:szCs w:val="32"/>
    </w:rPr>
  </w:style>
  <w:style w:type="paragraph" w:customStyle="1" w:styleId="138">
    <w:name w:val="图表目录1"/>
    <w:basedOn w:val="1"/>
    <w:next w:val="1"/>
    <w:unhideWhenUsed/>
    <w:qFormat/>
    <w:uiPriority w:val="0"/>
  </w:style>
  <w:style w:type="paragraph" w:customStyle="1" w:styleId="139">
    <w:name w:val="目录 21"/>
    <w:basedOn w:val="1"/>
    <w:next w:val="1"/>
    <w:qFormat/>
    <w:uiPriority w:val="0"/>
    <w:pPr>
      <w:ind w:left="210"/>
      <w:jc w:val="left"/>
    </w:pPr>
    <w:rPr>
      <w:rFonts w:cs="Calibri"/>
      <w:smallCaps/>
      <w:sz w:val="20"/>
      <w:szCs w:val="20"/>
    </w:rPr>
  </w:style>
  <w:style w:type="paragraph" w:customStyle="1" w:styleId="140">
    <w:name w:val="目录 91"/>
    <w:basedOn w:val="1"/>
    <w:next w:val="1"/>
    <w:unhideWhenUsed/>
    <w:qFormat/>
    <w:uiPriority w:val="0"/>
    <w:pPr>
      <w:spacing w:after="57"/>
      <w:ind w:left="2268"/>
    </w:pPr>
  </w:style>
  <w:style w:type="paragraph" w:customStyle="1" w:styleId="141">
    <w:name w:val="正文文本 21"/>
    <w:basedOn w:val="1"/>
    <w:link w:val="142"/>
    <w:qFormat/>
    <w:uiPriority w:val="0"/>
    <w:pPr>
      <w:widowControl/>
      <w:jc w:val="center"/>
    </w:pPr>
    <w:rPr>
      <w:rFonts w:ascii="楷体_GB2312" w:hAnsi="Times New Roman" w:eastAsia="楷体_GB2312"/>
      <w:sz w:val="28"/>
      <w:szCs w:val="28"/>
    </w:rPr>
  </w:style>
  <w:style w:type="character" w:customStyle="1" w:styleId="142">
    <w:name w:val="正文文本 2 字符"/>
    <w:link w:val="141"/>
    <w:qFormat/>
    <w:uiPriority w:val="0"/>
    <w:rPr>
      <w:rFonts w:ascii="楷体_GB2312" w:eastAsia="楷体_GB2312"/>
      <w:sz w:val="28"/>
      <w:szCs w:val="28"/>
    </w:rPr>
  </w:style>
  <w:style w:type="paragraph" w:customStyle="1" w:styleId="143">
    <w:name w:val="HTML 预设格式1"/>
    <w:basedOn w:val="1"/>
    <w:link w:val="14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44">
    <w:name w:val="HTML 预设格式 字符"/>
    <w:link w:val="143"/>
    <w:qFormat/>
    <w:uiPriority w:val="99"/>
    <w:rPr>
      <w:rFonts w:ascii="宋体" w:hAnsi="宋体"/>
      <w:sz w:val="24"/>
      <w:szCs w:val="24"/>
    </w:rPr>
  </w:style>
  <w:style w:type="paragraph" w:customStyle="1" w:styleId="145">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46">
    <w:name w:val="索引 11"/>
    <w:basedOn w:val="1"/>
    <w:next w:val="1"/>
    <w:semiHidden/>
    <w:qFormat/>
    <w:uiPriority w:val="0"/>
    <w:pPr>
      <w:spacing w:line="240" w:lineRule="atLeast"/>
    </w:pPr>
    <w:rPr>
      <w:rFonts w:ascii="Times New Roman" w:hAnsi="Times New Roman"/>
      <w:b/>
      <w:bCs/>
      <w:szCs w:val="21"/>
    </w:rPr>
  </w:style>
  <w:style w:type="paragraph" w:customStyle="1" w:styleId="147">
    <w:name w:val="标题11"/>
    <w:basedOn w:val="1"/>
    <w:next w:val="1"/>
    <w:link w:val="148"/>
    <w:qFormat/>
    <w:uiPriority w:val="10"/>
    <w:pPr>
      <w:spacing w:before="300" w:after="200"/>
      <w:contextualSpacing/>
    </w:pPr>
    <w:rPr>
      <w:sz w:val="48"/>
      <w:szCs w:val="48"/>
    </w:rPr>
  </w:style>
  <w:style w:type="character" w:customStyle="1" w:styleId="148">
    <w:name w:val="标题 字符"/>
    <w:link w:val="147"/>
    <w:qFormat/>
    <w:uiPriority w:val="10"/>
    <w:rPr>
      <w:sz w:val="48"/>
      <w:szCs w:val="48"/>
    </w:rPr>
  </w:style>
  <w:style w:type="paragraph" w:customStyle="1" w:styleId="149">
    <w:name w:val="批注主题1"/>
    <w:basedOn w:val="103"/>
    <w:next w:val="103"/>
    <w:link w:val="150"/>
    <w:semiHidden/>
    <w:qFormat/>
    <w:uiPriority w:val="0"/>
    <w:rPr>
      <w:b/>
      <w:bCs/>
    </w:rPr>
  </w:style>
  <w:style w:type="character" w:customStyle="1" w:styleId="150">
    <w:name w:val="批注主题 字符"/>
    <w:link w:val="149"/>
    <w:semiHidden/>
    <w:qFormat/>
    <w:uiPriority w:val="0"/>
    <w:rPr>
      <w:b/>
      <w:bCs/>
      <w:sz w:val="21"/>
      <w:szCs w:val="21"/>
    </w:rPr>
  </w:style>
  <w:style w:type="paragraph" w:customStyle="1" w:styleId="151">
    <w:name w:val="正文首行缩进 211"/>
    <w:basedOn w:val="108"/>
    <w:link w:val="152"/>
    <w:qFormat/>
    <w:uiPriority w:val="0"/>
    <w:pPr>
      <w:spacing w:line="360" w:lineRule="auto"/>
      <w:ind w:firstLine="420"/>
    </w:pPr>
    <w:rPr>
      <w:rFonts w:ascii="宋体" w:hAnsi="宋体" w:eastAsia="宋体"/>
      <w:sz w:val="21"/>
      <w:szCs w:val="20"/>
    </w:rPr>
  </w:style>
  <w:style w:type="character" w:customStyle="1" w:styleId="152">
    <w:name w:val="正文文本首行缩进 2 字符"/>
    <w:link w:val="151"/>
    <w:qFormat/>
    <w:uiPriority w:val="0"/>
    <w:rPr>
      <w:rFonts w:ascii="宋体" w:hAnsi="宋体" w:eastAsia="仿宋_GB2312"/>
      <w:sz w:val="21"/>
      <w:szCs w:val="22"/>
    </w:rPr>
  </w:style>
  <w:style w:type="table" w:customStyle="1" w:styleId="153">
    <w:name w:val="网格型1"/>
    <w:basedOn w:val="87"/>
    <w:qFormat/>
    <w:uiPriority w:val="0"/>
    <w:pPr>
      <w:widowControl w:val="0"/>
      <w:jc w:val="both"/>
    </w:pPr>
    <w:tblPr>
      <w:tblCellMar>
        <w:top w:w="0" w:type="dxa"/>
        <w:left w:w="0" w:type="dxa"/>
        <w:bottom w:w="0" w:type="dxa"/>
        <w:right w:w="0" w:type="dxa"/>
      </w:tblCellMar>
    </w:tblPr>
  </w:style>
  <w:style w:type="character" w:customStyle="1" w:styleId="154">
    <w:name w:val="要点1"/>
    <w:qFormat/>
    <w:uiPriority w:val="0"/>
    <w:rPr>
      <w:b/>
      <w:bCs/>
    </w:rPr>
  </w:style>
  <w:style w:type="character" w:customStyle="1" w:styleId="155">
    <w:name w:val="尾注引用1"/>
    <w:unhideWhenUsed/>
    <w:qFormat/>
    <w:uiPriority w:val="99"/>
    <w:rPr>
      <w:vertAlign w:val="superscript"/>
    </w:rPr>
  </w:style>
  <w:style w:type="character" w:customStyle="1" w:styleId="156">
    <w:name w:val="页码11"/>
    <w:qFormat/>
    <w:uiPriority w:val="0"/>
  </w:style>
  <w:style w:type="character" w:customStyle="1" w:styleId="157">
    <w:name w:val="已访问的超链接1"/>
    <w:qFormat/>
    <w:uiPriority w:val="0"/>
    <w:rPr>
      <w:color w:val="800080"/>
      <w:u w:val="single"/>
    </w:rPr>
  </w:style>
  <w:style w:type="character" w:customStyle="1" w:styleId="158">
    <w:name w:val="超链接1"/>
    <w:qFormat/>
    <w:uiPriority w:val="0"/>
    <w:rPr>
      <w:color w:val="0000FF"/>
      <w:u w:val="single"/>
    </w:rPr>
  </w:style>
  <w:style w:type="character" w:customStyle="1" w:styleId="159">
    <w:name w:val="批注引用1"/>
    <w:semiHidden/>
    <w:qFormat/>
    <w:uiPriority w:val="0"/>
    <w:rPr>
      <w:sz w:val="21"/>
      <w:szCs w:val="21"/>
    </w:rPr>
  </w:style>
  <w:style w:type="character" w:customStyle="1" w:styleId="160">
    <w:name w:val="脚注引用1"/>
    <w:unhideWhenUsed/>
    <w:qFormat/>
    <w:uiPriority w:val="99"/>
    <w:rPr>
      <w:vertAlign w:val="superscript"/>
    </w:rPr>
  </w:style>
  <w:style w:type="paragraph" w:customStyle="1" w:styleId="161">
    <w:name w:val="正文首行缩进 21"/>
    <w:basedOn w:val="162"/>
    <w:next w:val="1"/>
    <w:qFormat/>
    <w:uiPriority w:val="0"/>
    <w:pPr>
      <w:spacing w:line="360" w:lineRule="auto"/>
      <w:ind w:firstLine="420"/>
    </w:pPr>
    <w:rPr>
      <w:rFonts w:ascii="宋体" w:hAnsi="宋体" w:eastAsia="宋体"/>
      <w:sz w:val="21"/>
      <w:szCs w:val="20"/>
    </w:rPr>
  </w:style>
  <w:style w:type="paragraph" w:customStyle="1" w:styleId="162">
    <w:name w:val="正文文本缩进1"/>
    <w:basedOn w:val="1"/>
    <w:next w:val="163"/>
    <w:qFormat/>
    <w:uiPriority w:val="0"/>
    <w:pPr>
      <w:ind w:firstLine="645"/>
    </w:pPr>
    <w:rPr>
      <w:rFonts w:ascii="楷体_GB2312" w:eastAsia="楷体_GB2312"/>
      <w:sz w:val="32"/>
      <w:szCs w:val="32"/>
    </w:rPr>
  </w:style>
  <w:style w:type="paragraph" w:customStyle="1" w:styleId="163">
    <w:name w:val="寄信人地址1"/>
    <w:basedOn w:val="1"/>
    <w:qFormat/>
    <w:uiPriority w:val="0"/>
    <w:rPr>
      <w:rFonts w:ascii="Arial" w:hAnsi="Arial"/>
    </w:rPr>
  </w:style>
  <w:style w:type="paragraph" w:customStyle="1" w:styleId="164">
    <w:name w:val="标题 41"/>
    <w:basedOn w:val="165"/>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65">
    <w:name w:val="Normal_20"/>
    <w:next w:val="166"/>
    <w:qFormat/>
    <w:uiPriority w:val="0"/>
    <w:rPr>
      <w:rFonts w:hint="default" w:ascii="黑体" w:hAnsi="黑体" w:eastAsia="黑体" w:cs="黑体"/>
      <w:b/>
      <w:sz w:val="32"/>
      <w:szCs w:val="24"/>
      <w:lang w:val="en-US" w:eastAsia="zh-CN" w:bidi="ar-SA"/>
    </w:rPr>
  </w:style>
  <w:style w:type="paragraph" w:customStyle="1" w:styleId="166">
    <w:name w:val="Body Text First Indent_2"/>
    <w:basedOn w:val="165"/>
    <w:qFormat/>
    <w:uiPriority w:val="0"/>
    <w:pPr>
      <w:spacing w:after="120"/>
      <w:ind w:firstLine="100"/>
    </w:pPr>
  </w:style>
  <w:style w:type="table" w:customStyle="1" w:styleId="167">
    <w:name w:val="无格式表格 11"/>
    <w:basedOn w:val="87"/>
    <w:qFormat/>
    <w:uiPriority w:val="59"/>
    <w:tblPr>
      <w:tblCellMar>
        <w:top w:w="0" w:type="dxa"/>
        <w:left w:w="0" w:type="dxa"/>
        <w:bottom w:w="0" w:type="dxa"/>
        <w:right w:w="0" w:type="dxa"/>
      </w:tblCellMar>
    </w:tblPr>
  </w:style>
  <w:style w:type="table" w:customStyle="1" w:styleId="168">
    <w:name w:val="无格式表格 21"/>
    <w:basedOn w:val="87"/>
    <w:qFormat/>
    <w:uiPriority w:val="59"/>
    <w:tblPr>
      <w:tblCellMar>
        <w:top w:w="0" w:type="dxa"/>
        <w:left w:w="0" w:type="dxa"/>
        <w:bottom w:w="0" w:type="dxa"/>
        <w:right w:w="0" w:type="dxa"/>
      </w:tblCellMar>
    </w:tblPr>
  </w:style>
  <w:style w:type="table" w:customStyle="1" w:styleId="169">
    <w:name w:val="无格式表格 31"/>
    <w:basedOn w:val="87"/>
    <w:qFormat/>
    <w:uiPriority w:val="99"/>
    <w:tblPr>
      <w:tblCellMar>
        <w:top w:w="0" w:type="dxa"/>
        <w:left w:w="0" w:type="dxa"/>
        <w:bottom w:w="0" w:type="dxa"/>
        <w:right w:w="0" w:type="dxa"/>
      </w:tblCellMar>
    </w:tblPr>
  </w:style>
  <w:style w:type="table" w:customStyle="1" w:styleId="170">
    <w:name w:val="无格式表格 41"/>
    <w:basedOn w:val="87"/>
    <w:qFormat/>
    <w:uiPriority w:val="99"/>
    <w:tblPr>
      <w:tblCellMar>
        <w:top w:w="0" w:type="dxa"/>
        <w:left w:w="0" w:type="dxa"/>
        <w:bottom w:w="0" w:type="dxa"/>
        <w:right w:w="0" w:type="dxa"/>
      </w:tblCellMar>
    </w:tblPr>
  </w:style>
  <w:style w:type="table" w:customStyle="1" w:styleId="171">
    <w:name w:val="无格式表格 51"/>
    <w:basedOn w:val="87"/>
    <w:qFormat/>
    <w:uiPriority w:val="99"/>
    <w:tblPr>
      <w:tblCellMar>
        <w:top w:w="0" w:type="dxa"/>
        <w:left w:w="0" w:type="dxa"/>
        <w:bottom w:w="0" w:type="dxa"/>
        <w:right w:w="0" w:type="dxa"/>
      </w:tblCellMar>
    </w:tblPr>
  </w:style>
  <w:style w:type="table" w:customStyle="1" w:styleId="172">
    <w:name w:val="网格表 1 浅色1"/>
    <w:basedOn w:val="87"/>
    <w:qFormat/>
    <w:uiPriority w:val="99"/>
    <w:tblPr>
      <w:tblCellMar>
        <w:top w:w="0" w:type="dxa"/>
        <w:left w:w="0" w:type="dxa"/>
        <w:bottom w:w="0" w:type="dxa"/>
        <w:right w:w="0" w:type="dxa"/>
      </w:tblCellMar>
    </w:tblPr>
  </w:style>
  <w:style w:type="table" w:customStyle="1" w:styleId="173">
    <w:name w:val="网格表 21"/>
    <w:basedOn w:val="87"/>
    <w:qFormat/>
    <w:uiPriority w:val="99"/>
    <w:tblPr>
      <w:tblCellMar>
        <w:top w:w="0" w:type="dxa"/>
        <w:left w:w="0" w:type="dxa"/>
        <w:bottom w:w="0" w:type="dxa"/>
        <w:right w:w="0" w:type="dxa"/>
      </w:tblCellMar>
    </w:tblPr>
  </w:style>
  <w:style w:type="table" w:customStyle="1" w:styleId="174">
    <w:name w:val="网格表 31"/>
    <w:basedOn w:val="87"/>
    <w:qFormat/>
    <w:uiPriority w:val="99"/>
    <w:tblPr>
      <w:tblCellMar>
        <w:top w:w="0" w:type="dxa"/>
        <w:left w:w="0" w:type="dxa"/>
        <w:bottom w:w="0" w:type="dxa"/>
        <w:right w:w="0" w:type="dxa"/>
      </w:tblCellMar>
    </w:tblPr>
  </w:style>
  <w:style w:type="table" w:customStyle="1" w:styleId="175">
    <w:name w:val="网格表 41"/>
    <w:basedOn w:val="87"/>
    <w:qFormat/>
    <w:uiPriority w:val="59"/>
    <w:tblPr>
      <w:tblCellMar>
        <w:top w:w="0" w:type="dxa"/>
        <w:left w:w="0" w:type="dxa"/>
        <w:bottom w:w="0" w:type="dxa"/>
        <w:right w:w="0" w:type="dxa"/>
      </w:tblCellMar>
    </w:tblPr>
  </w:style>
  <w:style w:type="table" w:customStyle="1" w:styleId="176">
    <w:name w:val="网格表 5 深色1"/>
    <w:basedOn w:val="87"/>
    <w:qFormat/>
    <w:uiPriority w:val="99"/>
    <w:tblPr>
      <w:tblCellMar>
        <w:top w:w="0" w:type="dxa"/>
        <w:left w:w="0" w:type="dxa"/>
        <w:bottom w:w="0" w:type="dxa"/>
        <w:right w:w="0" w:type="dxa"/>
      </w:tblCellMar>
    </w:tblPr>
  </w:style>
  <w:style w:type="table" w:customStyle="1" w:styleId="177">
    <w:name w:val="网格表 6 彩色1"/>
    <w:basedOn w:val="87"/>
    <w:qFormat/>
    <w:uiPriority w:val="99"/>
    <w:tblPr>
      <w:tblCellMar>
        <w:top w:w="0" w:type="dxa"/>
        <w:left w:w="0" w:type="dxa"/>
        <w:bottom w:w="0" w:type="dxa"/>
        <w:right w:w="0" w:type="dxa"/>
      </w:tblCellMar>
    </w:tblPr>
  </w:style>
  <w:style w:type="table" w:customStyle="1" w:styleId="178">
    <w:name w:val="网格表 7 彩色1"/>
    <w:basedOn w:val="87"/>
    <w:qFormat/>
    <w:uiPriority w:val="99"/>
    <w:tblPr>
      <w:tblCellMar>
        <w:top w:w="0" w:type="dxa"/>
        <w:left w:w="0" w:type="dxa"/>
        <w:bottom w:w="0" w:type="dxa"/>
        <w:right w:w="0" w:type="dxa"/>
      </w:tblCellMar>
    </w:tblPr>
  </w:style>
  <w:style w:type="table" w:customStyle="1" w:styleId="179">
    <w:name w:val="清单表 1 浅色1"/>
    <w:basedOn w:val="87"/>
    <w:qFormat/>
    <w:uiPriority w:val="99"/>
    <w:tblPr>
      <w:tblCellMar>
        <w:top w:w="0" w:type="dxa"/>
        <w:left w:w="0" w:type="dxa"/>
        <w:bottom w:w="0" w:type="dxa"/>
        <w:right w:w="0" w:type="dxa"/>
      </w:tblCellMar>
    </w:tblPr>
  </w:style>
  <w:style w:type="table" w:customStyle="1" w:styleId="180">
    <w:name w:val="清单表 21"/>
    <w:basedOn w:val="87"/>
    <w:qFormat/>
    <w:uiPriority w:val="99"/>
    <w:tblPr>
      <w:tblCellMar>
        <w:top w:w="0" w:type="dxa"/>
        <w:left w:w="0" w:type="dxa"/>
        <w:bottom w:w="0" w:type="dxa"/>
        <w:right w:w="0" w:type="dxa"/>
      </w:tblCellMar>
    </w:tblPr>
  </w:style>
  <w:style w:type="table" w:customStyle="1" w:styleId="181">
    <w:name w:val="清单表 31"/>
    <w:basedOn w:val="87"/>
    <w:qFormat/>
    <w:uiPriority w:val="99"/>
    <w:tblPr>
      <w:tblCellMar>
        <w:top w:w="0" w:type="dxa"/>
        <w:left w:w="0" w:type="dxa"/>
        <w:bottom w:w="0" w:type="dxa"/>
        <w:right w:w="0" w:type="dxa"/>
      </w:tblCellMar>
    </w:tblPr>
  </w:style>
  <w:style w:type="table" w:customStyle="1" w:styleId="182">
    <w:name w:val="清单表 41"/>
    <w:basedOn w:val="87"/>
    <w:qFormat/>
    <w:uiPriority w:val="99"/>
    <w:tblPr>
      <w:tblCellMar>
        <w:top w:w="0" w:type="dxa"/>
        <w:left w:w="0" w:type="dxa"/>
        <w:bottom w:w="0" w:type="dxa"/>
        <w:right w:w="0" w:type="dxa"/>
      </w:tblCellMar>
    </w:tblPr>
  </w:style>
  <w:style w:type="table" w:customStyle="1" w:styleId="183">
    <w:name w:val="清单表 5 深色1"/>
    <w:basedOn w:val="87"/>
    <w:qFormat/>
    <w:uiPriority w:val="99"/>
    <w:tblPr>
      <w:tblCellMar>
        <w:top w:w="0" w:type="dxa"/>
        <w:left w:w="0" w:type="dxa"/>
        <w:bottom w:w="0" w:type="dxa"/>
        <w:right w:w="0" w:type="dxa"/>
      </w:tblCellMar>
    </w:tblPr>
  </w:style>
  <w:style w:type="table" w:customStyle="1" w:styleId="184">
    <w:name w:val="清单表 6 彩色1"/>
    <w:basedOn w:val="87"/>
    <w:qFormat/>
    <w:uiPriority w:val="99"/>
    <w:tblPr>
      <w:tblCellMar>
        <w:top w:w="0" w:type="dxa"/>
        <w:left w:w="0" w:type="dxa"/>
        <w:bottom w:w="0" w:type="dxa"/>
        <w:right w:w="0" w:type="dxa"/>
      </w:tblCellMar>
    </w:tblPr>
  </w:style>
  <w:style w:type="table" w:customStyle="1" w:styleId="185">
    <w:name w:val="清单表 7 彩色1"/>
    <w:basedOn w:val="87"/>
    <w:qFormat/>
    <w:uiPriority w:val="99"/>
    <w:tblPr>
      <w:tblCellMar>
        <w:top w:w="0" w:type="dxa"/>
        <w:left w:w="0" w:type="dxa"/>
        <w:bottom w:w="0" w:type="dxa"/>
        <w:right w:w="0" w:type="dxa"/>
      </w:tblCellMar>
    </w:tblPr>
  </w:style>
  <w:style w:type="paragraph" w:customStyle="1" w:styleId="186">
    <w:name w:val="TOC 标题1"/>
    <w:unhideWhenUsed/>
    <w:qFormat/>
    <w:uiPriority w:val="39"/>
    <w:rPr>
      <w:rFonts w:hint="default" w:ascii="Times New Roman" w:hAnsi="Times New Roman" w:eastAsia="宋体" w:cs="Times New Roman"/>
      <w:lang w:val="en-US" w:eastAsia="zh-CN" w:bidi="ar-SA"/>
    </w:rPr>
  </w:style>
  <w:style w:type="paragraph" w:customStyle="1" w:styleId="187">
    <w:name w:val="TOC 标题111"/>
    <w:unhideWhenUsed/>
    <w:qFormat/>
    <w:uiPriority w:val="39"/>
    <w:rPr>
      <w:rFonts w:hint="default" w:ascii="Times New Roman" w:hAnsi="Times New Roman" w:eastAsia="宋体" w:cs="Times New Roman"/>
      <w:lang w:val="en-US" w:eastAsia="zh-CN" w:bidi="ar-SA"/>
    </w:rPr>
  </w:style>
  <w:style w:type="paragraph" w:customStyle="1" w:styleId="188">
    <w:name w:val="Normal_21"/>
    <w:basedOn w:val="189"/>
    <w:next w:val="189"/>
    <w:qFormat/>
    <w:uiPriority w:val="0"/>
    <w:rPr>
      <w:rFonts w:ascii="Times New Roman" w:hAnsi="Times New Roman"/>
      <w:szCs w:val="24"/>
    </w:rPr>
  </w:style>
  <w:style w:type="paragraph" w:customStyle="1" w:styleId="189">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0">
    <w:name w:val="正文_17"/>
    <w:next w:val="19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1">
    <w:name w:val="标题 4_1"/>
    <w:basedOn w:val="190"/>
    <w:next w:val="190"/>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92">
    <w:name w:val="Heading 1 Char"/>
    <w:qFormat/>
    <w:uiPriority w:val="9"/>
    <w:rPr>
      <w:rFonts w:ascii="Arial" w:hAnsi="Arial" w:eastAsia="Arial" w:cs="Arial"/>
      <w:sz w:val="40"/>
      <w:szCs w:val="40"/>
    </w:rPr>
  </w:style>
  <w:style w:type="character" w:customStyle="1" w:styleId="193">
    <w:name w:val="Heading 2 Char"/>
    <w:qFormat/>
    <w:uiPriority w:val="9"/>
    <w:rPr>
      <w:rFonts w:ascii="Arial" w:hAnsi="Arial" w:eastAsia="Arial" w:cs="Arial"/>
      <w:sz w:val="34"/>
    </w:rPr>
  </w:style>
  <w:style w:type="character" w:customStyle="1" w:styleId="194">
    <w:name w:val="Heading 3 Char"/>
    <w:qFormat/>
    <w:uiPriority w:val="9"/>
    <w:rPr>
      <w:rFonts w:ascii="Arial" w:hAnsi="Arial" w:eastAsia="Arial" w:cs="Arial"/>
      <w:sz w:val="30"/>
      <w:szCs w:val="30"/>
    </w:rPr>
  </w:style>
  <w:style w:type="character" w:customStyle="1" w:styleId="195">
    <w:name w:val="Heading 4 Char"/>
    <w:qFormat/>
    <w:uiPriority w:val="9"/>
    <w:rPr>
      <w:rFonts w:ascii="Arial" w:hAnsi="Arial" w:eastAsia="Arial" w:cs="Arial"/>
      <w:b/>
      <w:bCs/>
      <w:sz w:val="26"/>
      <w:szCs w:val="26"/>
    </w:rPr>
  </w:style>
  <w:style w:type="character" w:customStyle="1" w:styleId="196">
    <w:name w:val="Heading 5 Char"/>
    <w:qFormat/>
    <w:uiPriority w:val="9"/>
    <w:rPr>
      <w:rFonts w:ascii="Arial" w:hAnsi="Arial" w:eastAsia="Arial" w:cs="Arial"/>
      <w:b/>
      <w:bCs/>
      <w:sz w:val="24"/>
      <w:szCs w:val="24"/>
    </w:rPr>
  </w:style>
  <w:style w:type="character" w:customStyle="1" w:styleId="197">
    <w:name w:val="Heading 6 Char"/>
    <w:qFormat/>
    <w:uiPriority w:val="9"/>
    <w:rPr>
      <w:rFonts w:ascii="Arial" w:hAnsi="Arial" w:eastAsia="Arial" w:cs="Arial"/>
      <w:b/>
      <w:bCs/>
      <w:sz w:val="22"/>
      <w:szCs w:val="22"/>
    </w:rPr>
  </w:style>
  <w:style w:type="character" w:customStyle="1" w:styleId="198">
    <w:name w:val="Heading 7 Char"/>
    <w:qFormat/>
    <w:uiPriority w:val="9"/>
    <w:rPr>
      <w:rFonts w:ascii="Arial" w:hAnsi="Arial" w:eastAsia="Arial" w:cs="Arial"/>
      <w:b/>
      <w:bCs/>
      <w:i/>
      <w:iCs/>
      <w:sz w:val="22"/>
      <w:szCs w:val="22"/>
    </w:rPr>
  </w:style>
  <w:style w:type="character" w:customStyle="1" w:styleId="199">
    <w:name w:val="Heading 8 Char"/>
    <w:qFormat/>
    <w:uiPriority w:val="9"/>
    <w:rPr>
      <w:rFonts w:ascii="Arial" w:hAnsi="Arial" w:eastAsia="Arial" w:cs="Arial"/>
      <w:i/>
      <w:iCs/>
      <w:sz w:val="22"/>
      <w:szCs w:val="22"/>
    </w:rPr>
  </w:style>
  <w:style w:type="character" w:customStyle="1" w:styleId="200">
    <w:name w:val="Heading 9 Char"/>
    <w:qFormat/>
    <w:uiPriority w:val="9"/>
    <w:rPr>
      <w:rFonts w:ascii="Arial" w:hAnsi="Arial" w:eastAsia="Arial" w:cs="Arial"/>
      <w:i/>
      <w:iCs/>
      <w:sz w:val="21"/>
      <w:szCs w:val="21"/>
    </w:rPr>
  </w:style>
  <w:style w:type="character" w:customStyle="1" w:styleId="201">
    <w:name w:val="Title Char"/>
    <w:qFormat/>
    <w:uiPriority w:val="10"/>
    <w:rPr>
      <w:sz w:val="48"/>
      <w:szCs w:val="48"/>
    </w:rPr>
  </w:style>
  <w:style w:type="character" w:customStyle="1" w:styleId="202">
    <w:name w:val="Subtitle Char"/>
    <w:qFormat/>
    <w:uiPriority w:val="11"/>
    <w:rPr>
      <w:sz w:val="24"/>
      <w:szCs w:val="24"/>
    </w:rPr>
  </w:style>
  <w:style w:type="character" w:customStyle="1" w:styleId="203">
    <w:name w:val="Quote Char"/>
    <w:qFormat/>
    <w:uiPriority w:val="29"/>
    <w:rPr>
      <w:i/>
    </w:rPr>
  </w:style>
  <w:style w:type="character" w:customStyle="1" w:styleId="204">
    <w:name w:val="Intense Quote Char"/>
    <w:qFormat/>
    <w:uiPriority w:val="30"/>
    <w:rPr>
      <w:i/>
    </w:rPr>
  </w:style>
  <w:style w:type="character" w:customStyle="1" w:styleId="205">
    <w:name w:val="Caption Char"/>
    <w:qFormat/>
    <w:uiPriority w:val="99"/>
  </w:style>
  <w:style w:type="character" w:customStyle="1" w:styleId="206">
    <w:name w:val="Footnote Text Char"/>
    <w:qFormat/>
    <w:uiPriority w:val="99"/>
    <w:rPr>
      <w:sz w:val="18"/>
    </w:rPr>
  </w:style>
  <w:style w:type="character" w:customStyle="1" w:styleId="207">
    <w:name w:val="Endnote Text Char"/>
    <w:qFormat/>
    <w:uiPriority w:val="99"/>
    <w:rPr>
      <w:sz w:val="20"/>
    </w:rPr>
  </w:style>
  <w:style w:type="paragraph" w:customStyle="1" w:styleId="208">
    <w:name w:val="列表段落1"/>
    <w:basedOn w:val="1"/>
    <w:qFormat/>
    <w:uiPriority w:val="0"/>
    <w:pPr>
      <w:ind w:left="720"/>
      <w:contextualSpacing/>
    </w:pPr>
  </w:style>
  <w:style w:type="paragraph" w:customStyle="1" w:styleId="209">
    <w:name w:val="无间隔1"/>
    <w:basedOn w:val="210"/>
    <w:qFormat/>
    <w:uiPriority w:val="99"/>
    <w:rPr>
      <w:rFonts w:ascii="Times New Roman" w:hAnsi="Times New Roman" w:eastAsia="宋体" w:cs="Times New Roman"/>
      <w:lang w:val="en-US" w:eastAsia="zh-CN" w:bidi="ar-SA"/>
    </w:rPr>
  </w:style>
  <w:style w:type="paragraph" w:customStyle="1" w:styleId="210">
    <w:name w:val="Normal"/>
    <w:next w:val="211"/>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211">
    <w:name w:val="Heading 3"/>
    <w:basedOn w:val="210"/>
    <w:next w:val="210"/>
    <w:qFormat/>
    <w:uiPriority w:val="0"/>
    <w:pPr>
      <w:keepNext/>
      <w:keepLines/>
      <w:spacing w:before="260" w:after="260" w:line="413" w:lineRule="auto"/>
      <w:outlineLvl w:val="2"/>
    </w:pPr>
    <w:rPr>
      <w:rFonts w:ascii="Times New Roman" w:hAnsi="Times New Roman" w:eastAsia="Times New Roman"/>
      <w:b/>
      <w:sz w:val="32"/>
      <w:szCs w:val="20"/>
    </w:rPr>
  </w:style>
  <w:style w:type="paragraph" w:customStyle="1" w:styleId="212">
    <w:name w:val="引用1"/>
    <w:basedOn w:val="1"/>
    <w:next w:val="1"/>
    <w:link w:val="213"/>
    <w:qFormat/>
    <w:uiPriority w:val="29"/>
    <w:pPr>
      <w:ind w:left="720" w:right="720"/>
    </w:pPr>
    <w:rPr>
      <w:i/>
    </w:rPr>
  </w:style>
  <w:style w:type="character" w:customStyle="1" w:styleId="213">
    <w:name w:val="引用 字符"/>
    <w:link w:val="212"/>
    <w:qFormat/>
    <w:uiPriority w:val="29"/>
    <w:rPr>
      <w:i/>
    </w:rPr>
  </w:style>
  <w:style w:type="paragraph" w:customStyle="1" w:styleId="214">
    <w:name w:val="明显引用1"/>
    <w:basedOn w:val="1"/>
    <w:next w:val="1"/>
    <w:link w:val="2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5">
    <w:name w:val="明显引用 字符"/>
    <w:link w:val="214"/>
    <w:qFormat/>
    <w:uiPriority w:val="30"/>
    <w:rPr>
      <w:i/>
    </w:rPr>
  </w:style>
  <w:style w:type="character" w:customStyle="1" w:styleId="216">
    <w:name w:val="Header Char"/>
    <w:qFormat/>
    <w:uiPriority w:val="99"/>
  </w:style>
  <w:style w:type="character" w:customStyle="1" w:styleId="217">
    <w:name w:val="Footer Char"/>
    <w:qFormat/>
    <w:uiPriority w:val="99"/>
  </w:style>
  <w:style w:type="table" w:customStyle="1" w:styleId="218">
    <w:name w:val="Table Grid Light"/>
    <w:basedOn w:val="87"/>
    <w:qFormat/>
    <w:uiPriority w:val="59"/>
    <w:tblPr>
      <w:tblCellMar>
        <w:top w:w="0" w:type="dxa"/>
        <w:left w:w="0" w:type="dxa"/>
        <w:bottom w:w="0" w:type="dxa"/>
        <w:right w:w="0" w:type="dxa"/>
      </w:tblCellMar>
    </w:tblPr>
  </w:style>
  <w:style w:type="table" w:customStyle="1" w:styleId="219">
    <w:name w:val="Grid Table 1 Light - Accent 1"/>
    <w:basedOn w:val="87"/>
    <w:qFormat/>
    <w:uiPriority w:val="99"/>
    <w:tblPr>
      <w:tblCellMar>
        <w:top w:w="0" w:type="dxa"/>
        <w:left w:w="0" w:type="dxa"/>
        <w:bottom w:w="0" w:type="dxa"/>
        <w:right w:w="0" w:type="dxa"/>
      </w:tblCellMar>
    </w:tblPr>
  </w:style>
  <w:style w:type="table" w:customStyle="1" w:styleId="220">
    <w:name w:val="Grid Table 1 Light - Accent 2"/>
    <w:basedOn w:val="87"/>
    <w:qFormat/>
    <w:uiPriority w:val="99"/>
    <w:tblPr>
      <w:tblCellMar>
        <w:top w:w="0" w:type="dxa"/>
        <w:left w:w="0" w:type="dxa"/>
        <w:bottom w:w="0" w:type="dxa"/>
        <w:right w:w="0" w:type="dxa"/>
      </w:tblCellMar>
    </w:tblPr>
  </w:style>
  <w:style w:type="table" w:customStyle="1" w:styleId="221">
    <w:name w:val="Grid Table 1 Light - Accent 3"/>
    <w:basedOn w:val="87"/>
    <w:qFormat/>
    <w:uiPriority w:val="99"/>
    <w:tblPr>
      <w:tblCellMar>
        <w:top w:w="0" w:type="dxa"/>
        <w:left w:w="0" w:type="dxa"/>
        <w:bottom w:w="0" w:type="dxa"/>
        <w:right w:w="0" w:type="dxa"/>
      </w:tblCellMar>
    </w:tblPr>
  </w:style>
  <w:style w:type="table" w:customStyle="1" w:styleId="222">
    <w:name w:val="Grid Table 1 Light - Accent 4"/>
    <w:basedOn w:val="87"/>
    <w:qFormat/>
    <w:uiPriority w:val="99"/>
    <w:tblPr>
      <w:tblCellMar>
        <w:top w:w="0" w:type="dxa"/>
        <w:left w:w="0" w:type="dxa"/>
        <w:bottom w:w="0" w:type="dxa"/>
        <w:right w:w="0" w:type="dxa"/>
      </w:tblCellMar>
    </w:tblPr>
  </w:style>
  <w:style w:type="table" w:customStyle="1" w:styleId="223">
    <w:name w:val="Grid Table 1 Light - Accent 5"/>
    <w:basedOn w:val="87"/>
    <w:qFormat/>
    <w:uiPriority w:val="99"/>
    <w:tblPr>
      <w:tblCellMar>
        <w:top w:w="0" w:type="dxa"/>
        <w:left w:w="0" w:type="dxa"/>
        <w:bottom w:w="0" w:type="dxa"/>
        <w:right w:w="0" w:type="dxa"/>
      </w:tblCellMar>
    </w:tblPr>
  </w:style>
  <w:style w:type="table" w:customStyle="1" w:styleId="224">
    <w:name w:val="Grid Table 1 Light - Accent 6"/>
    <w:basedOn w:val="87"/>
    <w:qFormat/>
    <w:uiPriority w:val="99"/>
    <w:tblPr>
      <w:tblCellMar>
        <w:top w:w="0" w:type="dxa"/>
        <w:left w:w="0" w:type="dxa"/>
        <w:bottom w:w="0" w:type="dxa"/>
        <w:right w:w="0" w:type="dxa"/>
      </w:tblCellMar>
    </w:tblPr>
  </w:style>
  <w:style w:type="table" w:customStyle="1" w:styleId="225">
    <w:name w:val="Grid Table 2 - Accent 1"/>
    <w:basedOn w:val="87"/>
    <w:qFormat/>
    <w:uiPriority w:val="99"/>
    <w:tblPr>
      <w:tblCellMar>
        <w:top w:w="0" w:type="dxa"/>
        <w:left w:w="0" w:type="dxa"/>
        <w:bottom w:w="0" w:type="dxa"/>
        <w:right w:w="0" w:type="dxa"/>
      </w:tblCellMar>
    </w:tblPr>
  </w:style>
  <w:style w:type="table" w:customStyle="1" w:styleId="226">
    <w:name w:val="Grid Table 2 - Accent 2"/>
    <w:basedOn w:val="87"/>
    <w:qFormat/>
    <w:uiPriority w:val="99"/>
    <w:tblPr>
      <w:tblCellMar>
        <w:top w:w="0" w:type="dxa"/>
        <w:left w:w="0" w:type="dxa"/>
        <w:bottom w:w="0" w:type="dxa"/>
        <w:right w:w="0" w:type="dxa"/>
      </w:tblCellMar>
    </w:tblPr>
  </w:style>
  <w:style w:type="table" w:customStyle="1" w:styleId="227">
    <w:name w:val="Grid Table 2 - Accent 3"/>
    <w:basedOn w:val="87"/>
    <w:qFormat/>
    <w:uiPriority w:val="99"/>
    <w:tblPr>
      <w:tblCellMar>
        <w:top w:w="0" w:type="dxa"/>
        <w:left w:w="0" w:type="dxa"/>
        <w:bottom w:w="0" w:type="dxa"/>
        <w:right w:w="0" w:type="dxa"/>
      </w:tblCellMar>
    </w:tblPr>
  </w:style>
  <w:style w:type="table" w:customStyle="1" w:styleId="228">
    <w:name w:val="Grid Table 2 - Accent 4"/>
    <w:basedOn w:val="87"/>
    <w:qFormat/>
    <w:uiPriority w:val="99"/>
    <w:tblPr>
      <w:tblCellMar>
        <w:top w:w="0" w:type="dxa"/>
        <w:left w:w="0" w:type="dxa"/>
        <w:bottom w:w="0" w:type="dxa"/>
        <w:right w:w="0" w:type="dxa"/>
      </w:tblCellMar>
    </w:tblPr>
  </w:style>
  <w:style w:type="table" w:customStyle="1" w:styleId="229">
    <w:name w:val="Grid Table 2 - Accent 5"/>
    <w:basedOn w:val="87"/>
    <w:qFormat/>
    <w:uiPriority w:val="99"/>
    <w:tblPr>
      <w:tblCellMar>
        <w:top w:w="0" w:type="dxa"/>
        <w:left w:w="0" w:type="dxa"/>
        <w:bottom w:w="0" w:type="dxa"/>
        <w:right w:w="0" w:type="dxa"/>
      </w:tblCellMar>
    </w:tblPr>
  </w:style>
  <w:style w:type="table" w:customStyle="1" w:styleId="230">
    <w:name w:val="Grid Table 2 - Accent 6"/>
    <w:basedOn w:val="87"/>
    <w:qFormat/>
    <w:uiPriority w:val="99"/>
    <w:tblPr>
      <w:tblCellMar>
        <w:top w:w="0" w:type="dxa"/>
        <w:left w:w="0" w:type="dxa"/>
        <w:bottom w:w="0" w:type="dxa"/>
        <w:right w:w="0" w:type="dxa"/>
      </w:tblCellMar>
    </w:tblPr>
  </w:style>
  <w:style w:type="table" w:customStyle="1" w:styleId="231">
    <w:name w:val="Grid Table 3 - Accent 1"/>
    <w:basedOn w:val="87"/>
    <w:qFormat/>
    <w:uiPriority w:val="99"/>
    <w:tblPr>
      <w:tblCellMar>
        <w:top w:w="0" w:type="dxa"/>
        <w:left w:w="0" w:type="dxa"/>
        <w:bottom w:w="0" w:type="dxa"/>
        <w:right w:w="0" w:type="dxa"/>
      </w:tblCellMar>
    </w:tblPr>
  </w:style>
  <w:style w:type="table" w:customStyle="1" w:styleId="232">
    <w:name w:val="Grid Table 3 - Accent 2"/>
    <w:basedOn w:val="87"/>
    <w:qFormat/>
    <w:uiPriority w:val="99"/>
    <w:tblPr>
      <w:tblCellMar>
        <w:top w:w="0" w:type="dxa"/>
        <w:left w:w="0" w:type="dxa"/>
        <w:bottom w:w="0" w:type="dxa"/>
        <w:right w:w="0" w:type="dxa"/>
      </w:tblCellMar>
    </w:tblPr>
  </w:style>
  <w:style w:type="table" w:customStyle="1" w:styleId="233">
    <w:name w:val="Grid Table 3 - Accent 3"/>
    <w:basedOn w:val="87"/>
    <w:qFormat/>
    <w:uiPriority w:val="99"/>
    <w:tblPr>
      <w:tblCellMar>
        <w:top w:w="0" w:type="dxa"/>
        <w:left w:w="0" w:type="dxa"/>
        <w:bottom w:w="0" w:type="dxa"/>
        <w:right w:w="0" w:type="dxa"/>
      </w:tblCellMar>
    </w:tblPr>
  </w:style>
  <w:style w:type="table" w:customStyle="1" w:styleId="234">
    <w:name w:val="Grid Table 3 - Accent 4"/>
    <w:basedOn w:val="87"/>
    <w:qFormat/>
    <w:uiPriority w:val="99"/>
    <w:tblPr>
      <w:tblCellMar>
        <w:top w:w="0" w:type="dxa"/>
        <w:left w:w="0" w:type="dxa"/>
        <w:bottom w:w="0" w:type="dxa"/>
        <w:right w:w="0" w:type="dxa"/>
      </w:tblCellMar>
    </w:tblPr>
  </w:style>
  <w:style w:type="table" w:customStyle="1" w:styleId="235">
    <w:name w:val="Grid Table 3 - Accent 5"/>
    <w:basedOn w:val="87"/>
    <w:qFormat/>
    <w:uiPriority w:val="99"/>
    <w:tblPr>
      <w:tblCellMar>
        <w:top w:w="0" w:type="dxa"/>
        <w:left w:w="0" w:type="dxa"/>
        <w:bottom w:w="0" w:type="dxa"/>
        <w:right w:w="0" w:type="dxa"/>
      </w:tblCellMar>
    </w:tblPr>
  </w:style>
  <w:style w:type="table" w:customStyle="1" w:styleId="236">
    <w:name w:val="Grid Table 3 - Accent 6"/>
    <w:basedOn w:val="87"/>
    <w:qFormat/>
    <w:uiPriority w:val="99"/>
    <w:tblPr>
      <w:tblCellMar>
        <w:top w:w="0" w:type="dxa"/>
        <w:left w:w="0" w:type="dxa"/>
        <w:bottom w:w="0" w:type="dxa"/>
        <w:right w:w="0" w:type="dxa"/>
      </w:tblCellMar>
    </w:tblPr>
  </w:style>
  <w:style w:type="table" w:customStyle="1" w:styleId="237">
    <w:name w:val="Grid Table 4 - Accent 1"/>
    <w:basedOn w:val="87"/>
    <w:qFormat/>
    <w:uiPriority w:val="59"/>
    <w:tblPr>
      <w:tblCellMar>
        <w:top w:w="0" w:type="dxa"/>
        <w:left w:w="0" w:type="dxa"/>
        <w:bottom w:w="0" w:type="dxa"/>
        <w:right w:w="0" w:type="dxa"/>
      </w:tblCellMar>
    </w:tblPr>
  </w:style>
  <w:style w:type="table" w:customStyle="1" w:styleId="238">
    <w:name w:val="Grid Table 4 - Accent 2"/>
    <w:basedOn w:val="87"/>
    <w:qFormat/>
    <w:uiPriority w:val="59"/>
    <w:tblPr>
      <w:tblCellMar>
        <w:top w:w="0" w:type="dxa"/>
        <w:left w:w="0" w:type="dxa"/>
        <w:bottom w:w="0" w:type="dxa"/>
        <w:right w:w="0" w:type="dxa"/>
      </w:tblCellMar>
    </w:tblPr>
  </w:style>
  <w:style w:type="table" w:customStyle="1" w:styleId="239">
    <w:name w:val="Grid Table 4 - Accent 3"/>
    <w:basedOn w:val="87"/>
    <w:qFormat/>
    <w:uiPriority w:val="59"/>
    <w:tblPr>
      <w:tblCellMar>
        <w:top w:w="0" w:type="dxa"/>
        <w:left w:w="0" w:type="dxa"/>
        <w:bottom w:w="0" w:type="dxa"/>
        <w:right w:w="0" w:type="dxa"/>
      </w:tblCellMar>
    </w:tblPr>
  </w:style>
  <w:style w:type="table" w:customStyle="1" w:styleId="240">
    <w:name w:val="Grid Table 4 - Accent 4"/>
    <w:basedOn w:val="87"/>
    <w:qFormat/>
    <w:uiPriority w:val="59"/>
    <w:tblPr>
      <w:tblCellMar>
        <w:top w:w="0" w:type="dxa"/>
        <w:left w:w="0" w:type="dxa"/>
        <w:bottom w:w="0" w:type="dxa"/>
        <w:right w:w="0" w:type="dxa"/>
      </w:tblCellMar>
    </w:tblPr>
  </w:style>
  <w:style w:type="table" w:customStyle="1" w:styleId="241">
    <w:name w:val="Grid Table 4 - Accent 5"/>
    <w:basedOn w:val="87"/>
    <w:qFormat/>
    <w:uiPriority w:val="59"/>
    <w:tblPr>
      <w:tblCellMar>
        <w:top w:w="0" w:type="dxa"/>
        <w:left w:w="0" w:type="dxa"/>
        <w:bottom w:w="0" w:type="dxa"/>
        <w:right w:w="0" w:type="dxa"/>
      </w:tblCellMar>
    </w:tblPr>
  </w:style>
  <w:style w:type="table" w:customStyle="1" w:styleId="242">
    <w:name w:val="Grid Table 4 - Accent 6"/>
    <w:basedOn w:val="87"/>
    <w:qFormat/>
    <w:uiPriority w:val="59"/>
    <w:tblPr>
      <w:tblCellMar>
        <w:top w:w="0" w:type="dxa"/>
        <w:left w:w="0" w:type="dxa"/>
        <w:bottom w:w="0" w:type="dxa"/>
        <w:right w:w="0" w:type="dxa"/>
      </w:tblCellMar>
    </w:tblPr>
  </w:style>
  <w:style w:type="table" w:customStyle="1" w:styleId="243">
    <w:name w:val="Grid Table 5 Dark- Accent 1"/>
    <w:basedOn w:val="87"/>
    <w:qFormat/>
    <w:uiPriority w:val="99"/>
    <w:tblPr>
      <w:tblCellMar>
        <w:top w:w="0" w:type="dxa"/>
        <w:left w:w="0" w:type="dxa"/>
        <w:bottom w:w="0" w:type="dxa"/>
        <w:right w:w="0" w:type="dxa"/>
      </w:tblCellMar>
    </w:tblPr>
  </w:style>
  <w:style w:type="table" w:customStyle="1" w:styleId="244">
    <w:name w:val="Grid Table 5 Dark - Accent 2"/>
    <w:basedOn w:val="87"/>
    <w:qFormat/>
    <w:uiPriority w:val="99"/>
    <w:tblPr>
      <w:tblCellMar>
        <w:top w:w="0" w:type="dxa"/>
        <w:left w:w="0" w:type="dxa"/>
        <w:bottom w:w="0" w:type="dxa"/>
        <w:right w:w="0" w:type="dxa"/>
      </w:tblCellMar>
    </w:tblPr>
  </w:style>
  <w:style w:type="table" w:customStyle="1" w:styleId="245">
    <w:name w:val="Grid Table 5 Dark - Accent 3"/>
    <w:basedOn w:val="87"/>
    <w:qFormat/>
    <w:uiPriority w:val="99"/>
    <w:tblPr>
      <w:tblCellMar>
        <w:top w:w="0" w:type="dxa"/>
        <w:left w:w="0" w:type="dxa"/>
        <w:bottom w:w="0" w:type="dxa"/>
        <w:right w:w="0" w:type="dxa"/>
      </w:tblCellMar>
    </w:tblPr>
  </w:style>
  <w:style w:type="table" w:customStyle="1" w:styleId="246">
    <w:name w:val="Grid Table 5 Dark- Accent 4"/>
    <w:basedOn w:val="87"/>
    <w:qFormat/>
    <w:uiPriority w:val="99"/>
    <w:tblPr>
      <w:tblCellMar>
        <w:top w:w="0" w:type="dxa"/>
        <w:left w:w="0" w:type="dxa"/>
        <w:bottom w:w="0" w:type="dxa"/>
        <w:right w:w="0" w:type="dxa"/>
      </w:tblCellMar>
    </w:tblPr>
  </w:style>
  <w:style w:type="table" w:customStyle="1" w:styleId="247">
    <w:name w:val="Grid Table 5 Dark - Accent 5"/>
    <w:basedOn w:val="87"/>
    <w:qFormat/>
    <w:uiPriority w:val="99"/>
    <w:tblPr>
      <w:tblCellMar>
        <w:top w:w="0" w:type="dxa"/>
        <w:left w:w="0" w:type="dxa"/>
        <w:bottom w:w="0" w:type="dxa"/>
        <w:right w:w="0" w:type="dxa"/>
      </w:tblCellMar>
    </w:tblPr>
  </w:style>
  <w:style w:type="table" w:customStyle="1" w:styleId="248">
    <w:name w:val="Grid Table 5 Dark - Accent 6"/>
    <w:basedOn w:val="87"/>
    <w:qFormat/>
    <w:uiPriority w:val="99"/>
    <w:tblPr>
      <w:tblCellMar>
        <w:top w:w="0" w:type="dxa"/>
        <w:left w:w="0" w:type="dxa"/>
        <w:bottom w:w="0" w:type="dxa"/>
        <w:right w:w="0" w:type="dxa"/>
      </w:tblCellMar>
    </w:tblPr>
  </w:style>
  <w:style w:type="table" w:customStyle="1" w:styleId="249">
    <w:name w:val="Grid Table 6 Colorful - Accent 1"/>
    <w:basedOn w:val="87"/>
    <w:qFormat/>
    <w:uiPriority w:val="99"/>
    <w:tblPr>
      <w:tblCellMar>
        <w:top w:w="0" w:type="dxa"/>
        <w:left w:w="0" w:type="dxa"/>
        <w:bottom w:w="0" w:type="dxa"/>
        <w:right w:w="0" w:type="dxa"/>
      </w:tblCellMar>
    </w:tblPr>
  </w:style>
  <w:style w:type="table" w:customStyle="1" w:styleId="250">
    <w:name w:val="Grid Table 6 Colorful - Accent 2"/>
    <w:basedOn w:val="87"/>
    <w:qFormat/>
    <w:uiPriority w:val="99"/>
    <w:tblPr>
      <w:tblCellMar>
        <w:top w:w="0" w:type="dxa"/>
        <w:left w:w="0" w:type="dxa"/>
        <w:bottom w:w="0" w:type="dxa"/>
        <w:right w:w="0" w:type="dxa"/>
      </w:tblCellMar>
    </w:tblPr>
  </w:style>
  <w:style w:type="table" w:customStyle="1" w:styleId="251">
    <w:name w:val="Grid Table 6 Colorful - Accent 3"/>
    <w:basedOn w:val="87"/>
    <w:qFormat/>
    <w:uiPriority w:val="99"/>
    <w:tblPr>
      <w:tblCellMar>
        <w:top w:w="0" w:type="dxa"/>
        <w:left w:w="0" w:type="dxa"/>
        <w:bottom w:w="0" w:type="dxa"/>
        <w:right w:w="0" w:type="dxa"/>
      </w:tblCellMar>
    </w:tblPr>
  </w:style>
  <w:style w:type="table" w:customStyle="1" w:styleId="252">
    <w:name w:val="Grid Table 6 Colorful - Accent 4"/>
    <w:basedOn w:val="87"/>
    <w:qFormat/>
    <w:uiPriority w:val="99"/>
    <w:tblPr>
      <w:tblCellMar>
        <w:top w:w="0" w:type="dxa"/>
        <w:left w:w="0" w:type="dxa"/>
        <w:bottom w:w="0" w:type="dxa"/>
        <w:right w:w="0" w:type="dxa"/>
      </w:tblCellMar>
    </w:tblPr>
  </w:style>
  <w:style w:type="table" w:customStyle="1" w:styleId="253">
    <w:name w:val="Grid Table 6 Colorful - Accent 5"/>
    <w:basedOn w:val="87"/>
    <w:qFormat/>
    <w:uiPriority w:val="99"/>
    <w:tblPr>
      <w:tblCellMar>
        <w:top w:w="0" w:type="dxa"/>
        <w:left w:w="0" w:type="dxa"/>
        <w:bottom w:w="0" w:type="dxa"/>
        <w:right w:w="0" w:type="dxa"/>
      </w:tblCellMar>
    </w:tblPr>
  </w:style>
  <w:style w:type="table" w:customStyle="1" w:styleId="254">
    <w:name w:val="Grid Table 6 Colorful - Accent 6"/>
    <w:basedOn w:val="87"/>
    <w:qFormat/>
    <w:uiPriority w:val="99"/>
    <w:tblPr>
      <w:tblCellMar>
        <w:top w:w="0" w:type="dxa"/>
        <w:left w:w="0" w:type="dxa"/>
        <w:bottom w:w="0" w:type="dxa"/>
        <w:right w:w="0" w:type="dxa"/>
      </w:tblCellMar>
    </w:tblPr>
  </w:style>
  <w:style w:type="table" w:customStyle="1" w:styleId="255">
    <w:name w:val="Grid Table 7 Colorful - Accent 1"/>
    <w:basedOn w:val="87"/>
    <w:qFormat/>
    <w:uiPriority w:val="99"/>
    <w:tblPr>
      <w:tblCellMar>
        <w:top w:w="0" w:type="dxa"/>
        <w:left w:w="0" w:type="dxa"/>
        <w:bottom w:w="0" w:type="dxa"/>
        <w:right w:w="0" w:type="dxa"/>
      </w:tblCellMar>
    </w:tblPr>
  </w:style>
  <w:style w:type="table" w:customStyle="1" w:styleId="256">
    <w:name w:val="Grid Table 7 Colorful - Accent 2"/>
    <w:basedOn w:val="87"/>
    <w:qFormat/>
    <w:uiPriority w:val="99"/>
    <w:tblPr>
      <w:tblCellMar>
        <w:top w:w="0" w:type="dxa"/>
        <w:left w:w="0" w:type="dxa"/>
        <w:bottom w:w="0" w:type="dxa"/>
        <w:right w:w="0" w:type="dxa"/>
      </w:tblCellMar>
    </w:tblPr>
  </w:style>
  <w:style w:type="table" w:customStyle="1" w:styleId="257">
    <w:name w:val="Grid Table 7 Colorful - Accent 3"/>
    <w:basedOn w:val="87"/>
    <w:qFormat/>
    <w:uiPriority w:val="99"/>
    <w:tblPr>
      <w:tblCellMar>
        <w:top w:w="0" w:type="dxa"/>
        <w:left w:w="0" w:type="dxa"/>
        <w:bottom w:w="0" w:type="dxa"/>
        <w:right w:w="0" w:type="dxa"/>
      </w:tblCellMar>
    </w:tblPr>
  </w:style>
  <w:style w:type="table" w:customStyle="1" w:styleId="258">
    <w:name w:val="Grid Table 7 Colorful - Accent 4"/>
    <w:basedOn w:val="87"/>
    <w:qFormat/>
    <w:uiPriority w:val="99"/>
    <w:tblPr>
      <w:tblCellMar>
        <w:top w:w="0" w:type="dxa"/>
        <w:left w:w="0" w:type="dxa"/>
        <w:bottom w:w="0" w:type="dxa"/>
        <w:right w:w="0" w:type="dxa"/>
      </w:tblCellMar>
    </w:tblPr>
  </w:style>
  <w:style w:type="table" w:customStyle="1" w:styleId="259">
    <w:name w:val="Grid Table 7 Colorful - Accent 5"/>
    <w:basedOn w:val="87"/>
    <w:qFormat/>
    <w:uiPriority w:val="99"/>
    <w:tblPr>
      <w:tblCellMar>
        <w:top w:w="0" w:type="dxa"/>
        <w:left w:w="0" w:type="dxa"/>
        <w:bottom w:w="0" w:type="dxa"/>
        <w:right w:w="0" w:type="dxa"/>
      </w:tblCellMar>
    </w:tblPr>
  </w:style>
  <w:style w:type="table" w:customStyle="1" w:styleId="260">
    <w:name w:val="Grid Table 7 Colorful - Accent 6"/>
    <w:basedOn w:val="87"/>
    <w:qFormat/>
    <w:uiPriority w:val="99"/>
    <w:tblPr>
      <w:tblCellMar>
        <w:top w:w="0" w:type="dxa"/>
        <w:left w:w="0" w:type="dxa"/>
        <w:bottom w:w="0" w:type="dxa"/>
        <w:right w:w="0" w:type="dxa"/>
      </w:tblCellMar>
    </w:tblPr>
  </w:style>
  <w:style w:type="table" w:customStyle="1" w:styleId="261">
    <w:name w:val="List Table 1 Light - Accent 1"/>
    <w:basedOn w:val="87"/>
    <w:qFormat/>
    <w:uiPriority w:val="99"/>
    <w:tblPr>
      <w:tblCellMar>
        <w:top w:w="0" w:type="dxa"/>
        <w:left w:w="0" w:type="dxa"/>
        <w:bottom w:w="0" w:type="dxa"/>
        <w:right w:w="0" w:type="dxa"/>
      </w:tblCellMar>
    </w:tblPr>
  </w:style>
  <w:style w:type="table" w:customStyle="1" w:styleId="262">
    <w:name w:val="List Table 1 Light - Accent 2"/>
    <w:basedOn w:val="87"/>
    <w:qFormat/>
    <w:uiPriority w:val="99"/>
    <w:tblPr>
      <w:tblCellMar>
        <w:top w:w="0" w:type="dxa"/>
        <w:left w:w="0" w:type="dxa"/>
        <w:bottom w:w="0" w:type="dxa"/>
        <w:right w:w="0" w:type="dxa"/>
      </w:tblCellMar>
    </w:tblPr>
  </w:style>
  <w:style w:type="table" w:customStyle="1" w:styleId="263">
    <w:name w:val="List Table 1 Light - Accent 3"/>
    <w:basedOn w:val="87"/>
    <w:qFormat/>
    <w:uiPriority w:val="99"/>
    <w:tblPr>
      <w:tblCellMar>
        <w:top w:w="0" w:type="dxa"/>
        <w:left w:w="0" w:type="dxa"/>
        <w:bottom w:w="0" w:type="dxa"/>
        <w:right w:w="0" w:type="dxa"/>
      </w:tblCellMar>
    </w:tblPr>
  </w:style>
  <w:style w:type="table" w:customStyle="1" w:styleId="264">
    <w:name w:val="List Table 1 Light - Accent 4"/>
    <w:basedOn w:val="87"/>
    <w:qFormat/>
    <w:uiPriority w:val="99"/>
    <w:tblPr>
      <w:tblCellMar>
        <w:top w:w="0" w:type="dxa"/>
        <w:left w:w="0" w:type="dxa"/>
        <w:bottom w:w="0" w:type="dxa"/>
        <w:right w:w="0" w:type="dxa"/>
      </w:tblCellMar>
    </w:tblPr>
  </w:style>
  <w:style w:type="table" w:customStyle="1" w:styleId="265">
    <w:name w:val="List Table 1 Light - Accent 5"/>
    <w:basedOn w:val="87"/>
    <w:qFormat/>
    <w:uiPriority w:val="99"/>
    <w:tblPr>
      <w:tblCellMar>
        <w:top w:w="0" w:type="dxa"/>
        <w:left w:w="0" w:type="dxa"/>
        <w:bottom w:w="0" w:type="dxa"/>
        <w:right w:w="0" w:type="dxa"/>
      </w:tblCellMar>
    </w:tblPr>
  </w:style>
  <w:style w:type="table" w:customStyle="1" w:styleId="266">
    <w:name w:val="List Table 1 Light - Accent 6"/>
    <w:basedOn w:val="87"/>
    <w:qFormat/>
    <w:uiPriority w:val="99"/>
    <w:tblPr>
      <w:tblCellMar>
        <w:top w:w="0" w:type="dxa"/>
        <w:left w:w="0" w:type="dxa"/>
        <w:bottom w:w="0" w:type="dxa"/>
        <w:right w:w="0" w:type="dxa"/>
      </w:tblCellMar>
    </w:tblPr>
  </w:style>
  <w:style w:type="table" w:customStyle="1" w:styleId="267">
    <w:name w:val="List Table 2 - Accent 1"/>
    <w:basedOn w:val="87"/>
    <w:qFormat/>
    <w:uiPriority w:val="99"/>
    <w:tblPr>
      <w:tblCellMar>
        <w:top w:w="0" w:type="dxa"/>
        <w:left w:w="0" w:type="dxa"/>
        <w:bottom w:w="0" w:type="dxa"/>
        <w:right w:w="0" w:type="dxa"/>
      </w:tblCellMar>
    </w:tblPr>
  </w:style>
  <w:style w:type="table" w:customStyle="1" w:styleId="268">
    <w:name w:val="List Table 2 - Accent 2"/>
    <w:basedOn w:val="87"/>
    <w:qFormat/>
    <w:uiPriority w:val="99"/>
    <w:tblPr>
      <w:tblCellMar>
        <w:top w:w="0" w:type="dxa"/>
        <w:left w:w="0" w:type="dxa"/>
        <w:bottom w:w="0" w:type="dxa"/>
        <w:right w:w="0" w:type="dxa"/>
      </w:tblCellMar>
    </w:tblPr>
  </w:style>
  <w:style w:type="table" w:customStyle="1" w:styleId="269">
    <w:name w:val="List Table 2 - Accent 3"/>
    <w:basedOn w:val="87"/>
    <w:qFormat/>
    <w:uiPriority w:val="99"/>
    <w:tblPr>
      <w:tblCellMar>
        <w:top w:w="0" w:type="dxa"/>
        <w:left w:w="0" w:type="dxa"/>
        <w:bottom w:w="0" w:type="dxa"/>
        <w:right w:w="0" w:type="dxa"/>
      </w:tblCellMar>
    </w:tblPr>
  </w:style>
  <w:style w:type="table" w:customStyle="1" w:styleId="270">
    <w:name w:val="List Table 2 - Accent 4"/>
    <w:basedOn w:val="87"/>
    <w:qFormat/>
    <w:uiPriority w:val="99"/>
    <w:tblPr>
      <w:tblCellMar>
        <w:top w:w="0" w:type="dxa"/>
        <w:left w:w="0" w:type="dxa"/>
        <w:bottom w:w="0" w:type="dxa"/>
        <w:right w:w="0" w:type="dxa"/>
      </w:tblCellMar>
    </w:tblPr>
  </w:style>
  <w:style w:type="table" w:customStyle="1" w:styleId="271">
    <w:name w:val="List Table 2 - Accent 5"/>
    <w:basedOn w:val="87"/>
    <w:qFormat/>
    <w:uiPriority w:val="99"/>
    <w:tblPr>
      <w:tblCellMar>
        <w:top w:w="0" w:type="dxa"/>
        <w:left w:w="0" w:type="dxa"/>
        <w:bottom w:w="0" w:type="dxa"/>
        <w:right w:w="0" w:type="dxa"/>
      </w:tblCellMar>
    </w:tblPr>
  </w:style>
  <w:style w:type="table" w:customStyle="1" w:styleId="272">
    <w:name w:val="List Table 2 - Accent 6"/>
    <w:basedOn w:val="87"/>
    <w:qFormat/>
    <w:uiPriority w:val="99"/>
    <w:tblPr>
      <w:tblCellMar>
        <w:top w:w="0" w:type="dxa"/>
        <w:left w:w="0" w:type="dxa"/>
        <w:bottom w:w="0" w:type="dxa"/>
        <w:right w:w="0" w:type="dxa"/>
      </w:tblCellMar>
    </w:tblPr>
  </w:style>
  <w:style w:type="table" w:customStyle="1" w:styleId="273">
    <w:name w:val="List Table 3 - Accent 1"/>
    <w:basedOn w:val="87"/>
    <w:qFormat/>
    <w:uiPriority w:val="99"/>
    <w:tblPr>
      <w:tblCellMar>
        <w:top w:w="0" w:type="dxa"/>
        <w:left w:w="0" w:type="dxa"/>
        <w:bottom w:w="0" w:type="dxa"/>
        <w:right w:w="0" w:type="dxa"/>
      </w:tblCellMar>
    </w:tblPr>
  </w:style>
  <w:style w:type="table" w:customStyle="1" w:styleId="274">
    <w:name w:val="List Table 3 - Accent 2"/>
    <w:basedOn w:val="87"/>
    <w:qFormat/>
    <w:uiPriority w:val="99"/>
    <w:tblPr>
      <w:tblCellMar>
        <w:top w:w="0" w:type="dxa"/>
        <w:left w:w="0" w:type="dxa"/>
        <w:bottom w:w="0" w:type="dxa"/>
        <w:right w:w="0" w:type="dxa"/>
      </w:tblCellMar>
    </w:tblPr>
  </w:style>
  <w:style w:type="table" w:customStyle="1" w:styleId="275">
    <w:name w:val="List Table 3 - Accent 3"/>
    <w:basedOn w:val="87"/>
    <w:qFormat/>
    <w:uiPriority w:val="99"/>
    <w:tblPr>
      <w:tblCellMar>
        <w:top w:w="0" w:type="dxa"/>
        <w:left w:w="0" w:type="dxa"/>
        <w:bottom w:w="0" w:type="dxa"/>
        <w:right w:w="0" w:type="dxa"/>
      </w:tblCellMar>
    </w:tblPr>
  </w:style>
  <w:style w:type="table" w:customStyle="1" w:styleId="276">
    <w:name w:val="List Table 3 - Accent 4"/>
    <w:basedOn w:val="87"/>
    <w:qFormat/>
    <w:uiPriority w:val="99"/>
    <w:tblPr>
      <w:tblCellMar>
        <w:top w:w="0" w:type="dxa"/>
        <w:left w:w="0" w:type="dxa"/>
        <w:bottom w:w="0" w:type="dxa"/>
        <w:right w:w="0" w:type="dxa"/>
      </w:tblCellMar>
    </w:tblPr>
  </w:style>
  <w:style w:type="table" w:customStyle="1" w:styleId="277">
    <w:name w:val="List Table 3 - Accent 5"/>
    <w:basedOn w:val="87"/>
    <w:qFormat/>
    <w:uiPriority w:val="99"/>
    <w:tblPr>
      <w:tblCellMar>
        <w:top w:w="0" w:type="dxa"/>
        <w:left w:w="0" w:type="dxa"/>
        <w:bottom w:w="0" w:type="dxa"/>
        <w:right w:w="0" w:type="dxa"/>
      </w:tblCellMar>
    </w:tblPr>
  </w:style>
  <w:style w:type="table" w:customStyle="1" w:styleId="278">
    <w:name w:val="List Table 3 - Accent 6"/>
    <w:basedOn w:val="87"/>
    <w:qFormat/>
    <w:uiPriority w:val="99"/>
    <w:tblPr>
      <w:tblCellMar>
        <w:top w:w="0" w:type="dxa"/>
        <w:left w:w="0" w:type="dxa"/>
        <w:bottom w:w="0" w:type="dxa"/>
        <w:right w:w="0" w:type="dxa"/>
      </w:tblCellMar>
    </w:tblPr>
  </w:style>
  <w:style w:type="table" w:customStyle="1" w:styleId="279">
    <w:name w:val="List Table 4 - Accent 1"/>
    <w:basedOn w:val="87"/>
    <w:qFormat/>
    <w:uiPriority w:val="99"/>
    <w:tblPr>
      <w:tblCellMar>
        <w:top w:w="0" w:type="dxa"/>
        <w:left w:w="0" w:type="dxa"/>
        <w:bottom w:w="0" w:type="dxa"/>
        <w:right w:w="0" w:type="dxa"/>
      </w:tblCellMar>
    </w:tblPr>
  </w:style>
  <w:style w:type="table" w:customStyle="1" w:styleId="280">
    <w:name w:val="List Table 4 - Accent 2"/>
    <w:basedOn w:val="87"/>
    <w:qFormat/>
    <w:uiPriority w:val="99"/>
    <w:tblPr>
      <w:tblCellMar>
        <w:top w:w="0" w:type="dxa"/>
        <w:left w:w="0" w:type="dxa"/>
        <w:bottom w:w="0" w:type="dxa"/>
        <w:right w:w="0" w:type="dxa"/>
      </w:tblCellMar>
    </w:tblPr>
  </w:style>
  <w:style w:type="table" w:customStyle="1" w:styleId="281">
    <w:name w:val="List Table 4 - Accent 3"/>
    <w:basedOn w:val="87"/>
    <w:qFormat/>
    <w:uiPriority w:val="99"/>
    <w:tblPr>
      <w:tblCellMar>
        <w:top w:w="0" w:type="dxa"/>
        <w:left w:w="0" w:type="dxa"/>
        <w:bottom w:w="0" w:type="dxa"/>
        <w:right w:w="0" w:type="dxa"/>
      </w:tblCellMar>
    </w:tblPr>
  </w:style>
  <w:style w:type="table" w:customStyle="1" w:styleId="282">
    <w:name w:val="List Table 4 - Accent 4"/>
    <w:basedOn w:val="87"/>
    <w:qFormat/>
    <w:uiPriority w:val="99"/>
    <w:tblPr>
      <w:tblCellMar>
        <w:top w:w="0" w:type="dxa"/>
        <w:left w:w="0" w:type="dxa"/>
        <w:bottom w:w="0" w:type="dxa"/>
        <w:right w:w="0" w:type="dxa"/>
      </w:tblCellMar>
    </w:tblPr>
  </w:style>
  <w:style w:type="table" w:customStyle="1" w:styleId="283">
    <w:name w:val="List Table 4 - Accent 5"/>
    <w:basedOn w:val="87"/>
    <w:qFormat/>
    <w:uiPriority w:val="99"/>
    <w:tblPr>
      <w:tblCellMar>
        <w:top w:w="0" w:type="dxa"/>
        <w:left w:w="0" w:type="dxa"/>
        <w:bottom w:w="0" w:type="dxa"/>
        <w:right w:w="0" w:type="dxa"/>
      </w:tblCellMar>
    </w:tblPr>
  </w:style>
  <w:style w:type="table" w:customStyle="1" w:styleId="284">
    <w:name w:val="List Table 4 - Accent 6"/>
    <w:basedOn w:val="87"/>
    <w:qFormat/>
    <w:uiPriority w:val="99"/>
    <w:tblPr>
      <w:tblCellMar>
        <w:top w:w="0" w:type="dxa"/>
        <w:left w:w="0" w:type="dxa"/>
        <w:bottom w:w="0" w:type="dxa"/>
        <w:right w:w="0" w:type="dxa"/>
      </w:tblCellMar>
    </w:tblPr>
  </w:style>
  <w:style w:type="table" w:customStyle="1" w:styleId="285">
    <w:name w:val="List Table 5 Dark - Accent 1"/>
    <w:basedOn w:val="87"/>
    <w:qFormat/>
    <w:uiPriority w:val="99"/>
    <w:tblPr>
      <w:tblCellMar>
        <w:top w:w="0" w:type="dxa"/>
        <w:left w:w="0" w:type="dxa"/>
        <w:bottom w:w="0" w:type="dxa"/>
        <w:right w:w="0" w:type="dxa"/>
      </w:tblCellMar>
    </w:tblPr>
  </w:style>
  <w:style w:type="table" w:customStyle="1" w:styleId="286">
    <w:name w:val="List Table 5 Dark - Accent 2"/>
    <w:basedOn w:val="87"/>
    <w:qFormat/>
    <w:uiPriority w:val="99"/>
    <w:tblPr>
      <w:tblCellMar>
        <w:top w:w="0" w:type="dxa"/>
        <w:left w:w="0" w:type="dxa"/>
        <w:bottom w:w="0" w:type="dxa"/>
        <w:right w:w="0" w:type="dxa"/>
      </w:tblCellMar>
    </w:tblPr>
  </w:style>
  <w:style w:type="table" w:customStyle="1" w:styleId="287">
    <w:name w:val="List Table 5 Dark - Accent 3"/>
    <w:basedOn w:val="87"/>
    <w:qFormat/>
    <w:uiPriority w:val="99"/>
    <w:tblPr>
      <w:tblCellMar>
        <w:top w:w="0" w:type="dxa"/>
        <w:left w:w="0" w:type="dxa"/>
        <w:bottom w:w="0" w:type="dxa"/>
        <w:right w:w="0" w:type="dxa"/>
      </w:tblCellMar>
    </w:tblPr>
  </w:style>
  <w:style w:type="table" w:customStyle="1" w:styleId="288">
    <w:name w:val="List Table 5 Dark - Accent 4"/>
    <w:basedOn w:val="87"/>
    <w:qFormat/>
    <w:uiPriority w:val="99"/>
    <w:tblPr>
      <w:tblCellMar>
        <w:top w:w="0" w:type="dxa"/>
        <w:left w:w="0" w:type="dxa"/>
        <w:bottom w:w="0" w:type="dxa"/>
        <w:right w:w="0" w:type="dxa"/>
      </w:tblCellMar>
    </w:tblPr>
  </w:style>
  <w:style w:type="table" w:customStyle="1" w:styleId="289">
    <w:name w:val="List Table 5 Dark - Accent 5"/>
    <w:basedOn w:val="87"/>
    <w:qFormat/>
    <w:uiPriority w:val="99"/>
    <w:tblPr>
      <w:tblCellMar>
        <w:top w:w="0" w:type="dxa"/>
        <w:left w:w="0" w:type="dxa"/>
        <w:bottom w:w="0" w:type="dxa"/>
        <w:right w:w="0" w:type="dxa"/>
      </w:tblCellMar>
    </w:tblPr>
  </w:style>
  <w:style w:type="table" w:customStyle="1" w:styleId="290">
    <w:name w:val="List Table 5 Dark - Accent 6"/>
    <w:basedOn w:val="87"/>
    <w:qFormat/>
    <w:uiPriority w:val="99"/>
    <w:tblPr>
      <w:tblCellMar>
        <w:top w:w="0" w:type="dxa"/>
        <w:left w:w="0" w:type="dxa"/>
        <w:bottom w:w="0" w:type="dxa"/>
        <w:right w:w="0" w:type="dxa"/>
      </w:tblCellMar>
    </w:tblPr>
  </w:style>
  <w:style w:type="table" w:customStyle="1" w:styleId="291">
    <w:name w:val="List Table 6 Colorful - Accent 1"/>
    <w:basedOn w:val="87"/>
    <w:qFormat/>
    <w:uiPriority w:val="99"/>
    <w:tblPr>
      <w:tblCellMar>
        <w:top w:w="0" w:type="dxa"/>
        <w:left w:w="0" w:type="dxa"/>
        <w:bottom w:w="0" w:type="dxa"/>
        <w:right w:w="0" w:type="dxa"/>
      </w:tblCellMar>
    </w:tblPr>
  </w:style>
  <w:style w:type="table" w:customStyle="1" w:styleId="292">
    <w:name w:val="List Table 6 Colorful - Accent 2"/>
    <w:basedOn w:val="87"/>
    <w:qFormat/>
    <w:uiPriority w:val="99"/>
    <w:tblPr>
      <w:tblCellMar>
        <w:top w:w="0" w:type="dxa"/>
        <w:left w:w="0" w:type="dxa"/>
        <w:bottom w:w="0" w:type="dxa"/>
        <w:right w:w="0" w:type="dxa"/>
      </w:tblCellMar>
    </w:tblPr>
  </w:style>
  <w:style w:type="table" w:customStyle="1" w:styleId="293">
    <w:name w:val="List Table 6 Colorful - Accent 3"/>
    <w:basedOn w:val="87"/>
    <w:qFormat/>
    <w:uiPriority w:val="99"/>
    <w:tblPr>
      <w:tblCellMar>
        <w:top w:w="0" w:type="dxa"/>
        <w:left w:w="0" w:type="dxa"/>
        <w:bottom w:w="0" w:type="dxa"/>
        <w:right w:w="0" w:type="dxa"/>
      </w:tblCellMar>
    </w:tblPr>
  </w:style>
  <w:style w:type="table" w:customStyle="1" w:styleId="294">
    <w:name w:val="List Table 6 Colorful - Accent 4"/>
    <w:basedOn w:val="87"/>
    <w:qFormat/>
    <w:uiPriority w:val="99"/>
    <w:tblPr>
      <w:tblCellMar>
        <w:top w:w="0" w:type="dxa"/>
        <w:left w:w="0" w:type="dxa"/>
        <w:bottom w:w="0" w:type="dxa"/>
        <w:right w:w="0" w:type="dxa"/>
      </w:tblCellMar>
    </w:tblPr>
  </w:style>
  <w:style w:type="table" w:customStyle="1" w:styleId="295">
    <w:name w:val="List Table 6 Colorful - Accent 5"/>
    <w:basedOn w:val="87"/>
    <w:qFormat/>
    <w:uiPriority w:val="99"/>
    <w:tblPr>
      <w:tblCellMar>
        <w:top w:w="0" w:type="dxa"/>
        <w:left w:w="0" w:type="dxa"/>
        <w:bottom w:w="0" w:type="dxa"/>
        <w:right w:w="0" w:type="dxa"/>
      </w:tblCellMar>
    </w:tblPr>
  </w:style>
  <w:style w:type="table" w:customStyle="1" w:styleId="296">
    <w:name w:val="List Table 6 Colorful - Accent 6"/>
    <w:basedOn w:val="87"/>
    <w:qFormat/>
    <w:uiPriority w:val="99"/>
    <w:tblPr>
      <w:tblCellMar>
        <w:top w:w="0" w:type="dxa"/>
        <w:left w:w="0" w:type="dxa"/>
        <w:bottom w:w="0" w:type="dxa"/>
        <w:right w:w="0" w:type="dxa"/>
      </w:tblCellMar>
    </w:tblPr>
  </w:style>
  <w:style w:type="table" w:customStyle="1" w:styleId="297">
    <w:name w:val="List Table 7 Colorful - Accent 1"/>
    <w:basedOn w:val="87"/>
    <w:qFormat/>
    <w:uiPriority w:val="99"/>
    <w:tblPr>
      <w:tblCellMar>
        <w:top w:w="0" w:type="dxa"/>
        <w:left w:w="0" w:type="dxa"/>
        <w:bottom w:w="0" w:type="dxa"/>
        <w:right w:w="0" w:type="dxa"/>
      </w:tblCellMar>
    </w:tblPr>
  </w:style>
  <w:style w:type="table" w:customStyle="1" w:styleId="298">
    <w:name w:val="List Table 7 Colorful - Accent 2"/>
    <w:basedOn w:val="87"/>
    <w:qFormat/>
    <w:uiPriority w:val="99"/>
    <w:tblPr>
      <w:tblCellMar>
        <w:top w:w="0" w:type="dxa"/>
        <w:left w:w="0" w:type="dxa"/>
        <w:bottom w:w="0" w:type="dxa"/>
        <w:right w:w="0" w:type="dxa"/>
      </w:tblCellMar>
    </w:tblPr>
  </w:style>
  <w:style w:type="table" w:customStyle="1" w:styleId="299">
    <w:name w:val="List Table 7 Colorful - Accent 3"/>
    <w:basedOn w:val="87"/>
    <w:qFormat/>
    <w:uiPriority w:val="99"/>
    <w:tblPr>
      <w:tblCellMar>
        <w:top w:w="0" w:type="dxa"/>
        <w:left w:w="0" w:type="dxa"/>
        <w:bottom w:w="0" w:type="dxa"/>
        <w:right w:w="0" w:type="dxa"/>
      </w:tblCellMar>
    </w:tblPr>
  </w:style>
  <w:style w:type="table" w:customStyle="1" w:styleId="300">
    <w:name w:val="List Table 7 Colorful - Accent 4"/>
    <w:basedOn w:val="87"/>
    <w:qFormat/>
    <w:uiPriority w:val="99"/>
    <w:tblPr>
      <w:tblCellMar>
        <w:top w:w="0" w:type="dxa"/>
        <w:left w:w="0" w:type="dxa"/>
        <w:bottom w:w="0" w:type="dxa"/>
        <w:right w:w="0" w:type="dxa"/>
      </w:tblCellMar>
    </w:tblPr>
  </w:style>
  <w:style w:type="table" w:customStyle="1" w:styleId="301">
    <w:name w:val="List Table 7 Colorful - Accent 5"/>
    <w:basedOn w:val="87"/>
    <w:qFormat/>
    <w:uiPriority w:val="99"/>
    <w:tblPr>
      <w:tblCellMar>
        <w:top w:w="0" w:type="dxa"/>
        <w:left w:w="0" w:type="dxa"/>
        <w:bottom w:w="0" w:type="dxa"/>
        <w:right w:w="0" w:type="dxa"/>
      </w:tblCellMar>
    </w:tblPr>
  </w:style>
  <w:style w:type="table" w:customStyle="1" w:styleId="302">
    <w:name w:val="List Table 7 Colorful - Accent 6"/>
    <w:basedOn w:val="87"/>
    <w:qFormat/>
    <w:uiPriority w:val="99"/>
    <w:tblPr>
      <w:tblCellMar>
        <w:top w:w="0" w:type="dxa"/>
        <w:left w:w="0" w:type="dxa"/>
        <w:bottom w:w="0" w:type="dxa"/>
        <w:right w:w="0" w:type="dxa"/>
      </w:tblCellMar>
    </w:tblPr>
  </w:style>
  <w:style w:type="table" w:customStyle="1" w:styleId="303">
    <w:name w:val="Lined - Accent"/>
    <w:basedOn w:val="87"/>
    <w:qFormat/>
    <w:uiPriority w:val="99"/>
    <w:rPr>
      <w:color w:val="404040"/>
    </w:rPr>
    <w:tblPr>
      <w:tblCellMar>
        <w:top w:w="0" w:type="dxa"/>
        <w:left w:w="0" w:type="dxa"/>
        <w:bottom w:w="0" w:type="dxa"/>
        <w:right w:w="0" w:type="dxa"/>
      </w:tblCellMar>
    </w:tblPr>
  </w:style>
  <w:style w:type="table" w:customStyle="1" w:styleId="304">
    <w:name w:val="Lined - Accent 1"/>
    <w:basedOn w:val="87"/>
    <w:qFormat/>
    <w:uiPriority w:val="99"/>
    <w:rPr>
      <w:color w:val="404040"/>
    </w:rPr>
    <w:tblPr>
      <w:tblCellMar>
        <w:top w:w="0" w:type="dxa"/>
        <w:left w:w="0" w:type="dxa"/>
        <w:bottom w:w="0" w:type="dxa"/>
        <w:right w:w="0" w:type="dxa"/>
      </w:tblCellMar>
    </w:tblPr>
  </w:style>
  <w:style w:type="table" w:customStyle="1" w:styleId="305">
    <w:name w:val="Lined - Accent 2"/>
    <w:basedOn w:val="87"/>
    <w:qFormat/>
    <w:uiPriority w:val="99"/>
    <w:rPr>
      <w:color w:val="404040"/>
    </w:rPr>
    <w:tblPr>
      <w:tblCellMar>
        <w:top w:w="0" w:type="dxa"/>
        <w:left w:w="0" w:type="dxa"/>
        <w:bottom w:w="0" w:type="dxa"/>
        <w:right w:w="0" w:type="dxa"/>
      </w:tblCellMar>
    </w:tblPr>
  </w:style>
  <w:style w:type="table" w:customStyle="1" w:styleId="306">
    <w:name w:val="Lined - Accent 3"/>
    <w:basedOn w:val="87"/>
    <w:qFormat/>
    <w:uiPriority w:val="99"/>
    <w:rPr>
      <w:color w:val="404040"/>
    </w:rPr>
    <w:tblPr>
      <w:tblCellMar>
        <w:top w:w="0" w:type="dxa"/>
        <w:left w:w="0" w:type="dxa"/>
        <w:bottom w:w="0" w:type="dxa"/>
        <w:right w:w="0" w:type="dxa"/>
      </w:tblCellMar>
    </w:tblPr>
  </w:style>
  <w:style w:type="table" w:customStyle="1" w:styleId="307">
    <w:name w:val="Lined - Accent 4"/>
    <w:basedOn w:val="87"/>
    <w:qFormat/>
    <w:uiPriority w:val="99"/>
    <w:rPr>
      <w:color w:val="404040"/>
    </w:rPr>
    <w:tblPr>
      <w:tblCellMar>
        <w:top w:w="0" w:type="dxa"/>
        <w:left w:w="0" w:type="dxa"/>
        <w:bottom w:w="0" w:type="dxa"/>
        <w:right w:w="0" w:type="dxa"/>
      </w:tblCellMar>
    </w:tblPr>
  </w:style>
  <w:style w:type="table" w:customStyle="1" w:styleId="308">
    <w:name w:val="Lined - Accent 5"/>
    <w:basedOn w:val="87"/>
    <w:qFormat/>
    <w:uiPriority w:val="99"/>
    <w:rPr>
      <w:color w:val="404040"/>
    </w:rPr>
    <w:tblPr>
      <w:tblCellMar>
        <w:top w:w="0" w:type="dxa"/>
        <w:left w:w="0" w:type="dxa"/>
        <w:bottom w:w="0" w:type="dxa"/>
        <w:right w:w="0" w:type="dxa"/>
      </w:tblCellMar>
    </w:tblPr>
  </w:style>
  <w:style w:type="table" w:customStyle="1" w:styleId="309">
    <w:name w:val="Lined - Accent 6"/>
    <w:basedOn w:val="87"/>
    <w:qFormat/>
    <w:uiPriority w:val="99"/>
    <w:rPr>
      <w:color w:val="404040"/>
    </w:rPr>
    <w:tblPr>
      <w:tblCellMar>
        <w:top w:w="0" w:type="dxa"/>
        <w:left w:w="0" w:type="dxa"/>
        <w:bottom w:w="0" w:type="dxa"/>
        <w:right w:w="0" w:type="dxa"/>
      </w:tblCellMar>
    </w:tblPr>
  </w:style>
  <w:style w:type="table" w:customStyle="1" w:styleId="310">
    <w:name w:val="Bordered &amp; Lined - Accent"/>
    <w:basedOn w:val="87"/>
    <w:qFormat/>
    <w:uiPriority w:val="99"/>
    <w:rPr>
      <w:color w:val="404040"/>
    </w:rPr>
    <w:tblPr>
      <w:tblCellMar>
        <w:top w:w="0" w:type="dxa"/>
        <w:left w:w="0" w:type="dxa"/>
        <w:bottom w:w="0" w:type="dxa"/>
        <w:right w:w="0" w:type="dxa"/>
      </w:tblCellMar>
    </w:tblPr>
  </w:style>
  <w:style w:type="table" w:customStyle="1" w:styleId="311">
    <w:name w:val="Bordered &amp; Lined - Accent 1"/>
    <w:basedOn w:val="87"/>
    <w:qFormat/>
    <w:uiPriority w:val="99"/>
    <w:rPr>
      <w:color w:val="404040"/>
    </w:rPr>
    <w:tblPr>
      <w:tblCellMar>
        <w:top w:w="0" w:type="dxa"/>
        <w:left w:w="0" w:type="dxa"/>
        <w:bottom w:w="0" w:type="dxa"/>
        <w:right w:w="0" w:type="dxa"/>
      </w:tblCellMar>
    </w:tblPr>
  </w:style>
  <w:style w:type="table" w:customStyle="1" w:styleId="312">
    <w:name w:val="Bordered &amp; Lined - Accent 2"/>
    <w:basedOn w:val="87"/>
    <w:qFormat/>
    <w:uiPriority w:val="99"/>
    <w:rPr>
      <w:color w:val="404040"/>
    </w:rPr>
    <w:tblPr>
      <w:tblCellMar>
        <w:top w:w="0" w:type="dxa"/>
        <w:left w:w="0" w:type="dxa"/>
        <w:bottom w:w="0" w:type="dxa"/>
        <w:right w:w="0" w:type="dxa"/>
      </w:tblCellMar>
    </w:tblPr>
  </w:style>
  <w:style w:type="table" w:customStyle="1" w:styleId="313">
    <w:name w:val="Bordered &amp; Lined - Accent 3"/>
    <w:basedOn w:val="87"/>
    <w:qFormat/>
    <w:uiPriority w:val="99"/>
    <w:rPr>
      <w:color w:val="404040"/>
    </w:rPr>
    <w:tblPr>
      <w:tblCellMar>
        <w:top w:w="0" w:type="dxa"/>
        <w:left w:w="0" w:type="dxa"/>
        <w:bottom w:w="0" w:type="dxa"/>
        <w:right w:w="0" w:type="dxa"/>
      </w:tblCellMar>
    </w:tblPr>
  </w:style>
  <w:style w:type="table" w:customStyle="1" w:styleId="314">
    <w:name w:val="Bordered &amp; Lined - Accent 4"/>
    <w:basedOn w:val="87"/>
    <w:qFormat/>
    <w:uiPriority w:val="99"/>
    <w:rPr>
      <w:color w:val="404040"/>
    </w:rPr>
    <w:tblPr>
      <w:tblCellMar>
        <w:top w:w="0" w:type="dxa"/>
        <w:left w:w="0" w:type="dxa"/>
        <w:bottom w:w="0" w:type="dxa"/>
        <w:right w:w="0" w:type="dxa"/>
      </w:tblCellMar>
    </w:tblPr>
  </w:style>
  <w:style w:type="table" w:customStyle="1" w:styleId="315">
    <w:name w:val="Bordered &amp; Lined - Accent 5"/>
    <w:basedOn w:val="87"/>
    <w:qFormat/>
    <w:uiPriority w:val="99"/>
    <w:rPr>
      <w:color w:val="404040"/>
    </w:rPr>
    <w:tblPr>
      <w:tblCellMar>
        <w:top w:w="0" w:type="dxa"/>
        <w:left w:w="0" w:type="dxa"/>
        <w:bottom w:w="0" w:type="dxa"/>
        <w:right w:w="0" w:type="dxa"/>
      </w:tblCellMar>
    </w:tblPr>
  </w:style>
  <w:style w:type="table" w:customStyle="1" w:styleId="316">
    <w:name w:val="Bordered &amp; Lined - Accent 6"/>
    <w:basedOn w:val="87"/>
    <w:qFormat/>
    <w:uiPriority w:val="99"/>
    <w:rPr>
      <w:color w:val="404040"/>
    </w:rPr>
    <w:tblPr>
      <w:tblCellMar>
        <w:top w:w="0" w:type="dxa"/>
        <w:left w:w="0" w:type="dxa"/>
        <w:bottom w:w="0" w:type="dxa"/>
        <w:right w:w="0" w:type="dxa"/>
      </w:tblCellMar>
    </w:tblPr>
  </w:style>
  <w:style w:type="table" w:customStyle="1" w:styleId="317">
    <w:name w:val="Bordered"/>
    <w:basedOn w:val="87"/>
    <w:qFormat/>
    <w:uiPriority w:val="99"/>
    <w:tblPr>
      <w:tblCellMar>
        <w:top w:w="0" w:type="dxa"/>
        <w:left w:w="0" w:type="dxa"/>
        <w:bottom w:w="0" w:type="dxa"/>
        <w:right w:w="0" w:type="dxa"/>
      </w:tblCellMar>
    </w:tblPr>
  </w:style>
  <w:style w:type="table" w:customStyle="1" w:styleId="318">
    <w:name w:val="Bordered - Accent 1"/>
    <w:basedOn w:val="87"/>
    <w:qFormat/>
    <w:uiPriority w:val="99"/>
    <w:tblPr>
      <w:tblCellMar>
        <w:top w:w="0" w:type="dxa"/>
        <w:left w:w="0" w:type="dxa"/>
        <w:bottom w:w="0" w:type="dxa"/>
        <w:right w:w="0" w:type="dxa"/>
      </w:tblCellMar>
    </w:tblPr>
  </w:style>
  <w:style w:type="table" w:customStyle="1" w:styleId="319">
    <w:name w:val="Bordered - Accent 2"/>
    <w:basedOn w:val="87"/>
    <w:qFormat/>
    <w:uiPriority w:val="99"/>
    <w:tblPr>
      <w:tblCellMar>
        <w:top w:w="0" w:type="dxa"/>
        <w:left w:w="0" w:type="dxa"/>
        <w:bottom w:w="0" w:type="dxa"/>
        <w:right w:w="0" w:type="dxa"/>
      </w:tblCellMar>
    </w:tblPr>
  </w:style>
  <w:style w:type="table" w:customStyle="1" w:styleId="320">
    <w:name w:val="Bordered - Accent 3"/>
    <w:basedOn w:val="87"/>
    <w:qFormat/>
    <w:uiPriority w:val="99"/>
    <w:tblPr>
      <w:tblCellMar>
        <w:top w:w="0" w:type="dxa"/>
        <w:left w:w="0" w:type="dxa"/>
        <w:bottom w:w="0" w:type="dxa"/>
        <w:right w:w="0" w:type="dxa"/>
      </w:tblCellMar>
    </w:tblPr>
  </w:style>
  <w:style w:type="table" w:customStyle="1" w:styleId="321">
    <w:name w:val="Bordered - Accent 4"/>
    <w:basedOn w:val="87"/>
    <w:qFormat/>
    <w:uiPriority w:val="99"/>
    <w:tblPr>
      <w:tblCellMar>
        <w:top w:w="0" w:type="dxa"/>
        <w:left w:w="0" w:type="dxa"/>
        <w:bottom w:w="0" w:type="dxa"/>
        <w:right w:w="0" w:type="dxa"/>
      </w:tblCellMar>
    </w:tblPr>
  </w:style>
  <w:style w:type="table" w:customStyle="1" w:styleId="322">
    <w:name w:val="Bordered - Accent 5"/>
    <w:basedOn w:val="87"/>
    <w:qFormat/>
    <w:uiPriority w:val="99"/>
    <w:tblPr>
      <w:tblCellMar>
        <w:top w:w="0" w:type="dxa"/>
        <w:left w:w="0" w:type="dxa"/>
        <w:bottom w:w="0" w:type="dxa"/>
        <w:right w:w="0" w:type="dxa"/>
      </w:tblCellMar>
    </w:tblPr>
  </w:style>
  <w:style w:type="table" w:customStyle="1" w:styleId="323">
    <w:name w:val="Bordered - Accent 6"/>
    <w:basedOn w:val="87"/>
    <w:qFormat/>
    <w:uiPriority w:val="99"/>
    <w:tblPr>
      <w:tblCellMar>
        <w:top w:w="0" w:type="dxa"/>
        <w:left w:w="0" w:type="dxa"/>
        <w:bottom w:w="0" w:type="dxa"/>
        <w:right w:w="0" w:type="dxa"/>
      </w:tblCellMar>
    </w:tblPr>
  </w:style>
  <w:style w:type="paragraph" w:customStyle="1" w:styleId="324">
    <w:name w:val="TOC 标题11"/>
    <w:unhideWhenUsed/>
    <w:qFormat/>
    <w:uiPriority w:val="39"/>
    <w:rPr>
      <w:rFonts w:hint="default" w:ascii="Times New Roman" w:hAnsi="Times New Roman" w:eastAsia="宋体" w:cs="Times New Roman"/>
      <w:lang w:val="en-US" w:eastAsia="zh-CN" w:bidi="ar-SA"/>
    </w:rPr>
  </w:style>
  <w:style w:type="paragraph" w:customStyle="1" w:styleId="325">
    <w:name w:val="Normal_0"/>
    <w:qFormat/>
    <w:uiPriority w:val="0"/>
    <w:rPr>
      <w:rFonts w:hint="default" w:ascii="黑体" w:hAnsi="黑体" w:eastAsia="黑体" w:cs="Times New Roman"/>
      <w:b/>
      <w:sz w:val="32"/>
      <w:szCs w:val="24"/>
      <w:lang w:val="en-US" w:eastAsia="zh-CN" w:bidi="ar-SA"/>
    </w:rPr>
  </w:style>
  <w:style w:type="paragraph" w:customStyle="1" w:styleId="326">
    <w:name w:val="Normal_0_3"/>
    <w:qFormat/>
    <w:uiPriority w:val="0"/>
    <w:rPr>
      <w:rFonts w:hint="default" w:ascii="黑体" w:hAnsi="黑体" w:eastAsia="黑体" w:cs="黑体"/>
      <w:b/>
      <w:sz w:val="32"/>
      <w:szCs w:val="24"/>
      <w:lang w:val="en-US" w:eastAsia="zh-CN" w:bidi="ar-SA"/>
    </w:rPr>
  </w:style>
  <w:style w:type="paragraph" w:customStyle="1" w:styleId="327">
    <w:name w:val="正文首行缩进 2_0"/>
    <w:basedOn w:val="328"/>
    <w:qFormat/>
    <w:uiPriority w:val="0"/>
    <w:pPr>
      <w:spacing w:after="120"/>
      <w:ind w:left="200" w:firstLine="200"/>
    </w:pPr>
    <w:rPr>
      <w:rFonts w:ascii="Times New Roman" w:hAnsi="Times New Roman"/>
      <w:sz w:val="24"/>
      <w:szCs w:val="24"/>
    </w:rPr>
  </w:style>
  <w:style w:type="paragraph" w:customStyle="1" w:styleId="328">
    <w:name w:val="正文文本缩进_0"/>
    <w:basedOn w:val="329"/>
    <w:qFormat/>
    <w:uiPriority w:val="0"/>
    <w:pPr>
      <w:ind w:firstLine="225"/>
    </w:pPr>
    <w:rPr>
      <w:rFonts w:ascii="仿宋_GB2312" w:eastAsia="仿宋_GB2312"/>
      <w:sz w:val="32"/>
    </w:rPr>
  </w:style>
  <w:style w:type="paragraph" w:customStyle="1" w:styleId="329">
    <w:name w:val="正文_2"/>
    <w:next w:val="33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0">
    <w:name w:val="标题 2_0"/>
    <w:basedOn w:val="329"/>
    <w:next w:val="329"/>
    <w:unhideWhenUsed/>
    <w:qFormat/>
    <w:uiPriority w:val="0"/>
    <w:pPr>
      <w:keepNext/>
      <w:keepLines/>
      <w:spacing w:before="20" w:beforeLines="0" w:beforeAutospacing="0" w:after="20" w:afterLines="0" w:afterAutospacing="0" w:line="240" w:lineRule="auto"/>
      <w:outlineLvl w:val="1"/>
    </w:pPr>
    <w:rPr>
      <w:rFonts w:ascii="Arial" w:hAnsi="Arial" w:eastAsia="宋体" w:cs="Times New Roman"/>
      <w:b/>
      <w:sz w:val="28"/>
    </w:rPr>
  </w:style>
  <w:style w:type="paragraph" w:customStyle="1" w:styleId="331">
    <w:name w:val="Body Text First Indent_1"/>
    <w:basedOn w:val="9"/>
    <w:unhideWhenUsed/>
    <w:qFormat/>
    <w:uiPriority w:val="99"/>
    <w:pPr>
      <w:spacing w:after="120"/>
      <w:ind w:firstLine="420"/>
    </w:pPr>
    <w:rPr>
      <w:rFonts w:eastAsia="Times New Roman"/>
    </w:rPr>
  </w:style>
  <w:style w:type="paragraph" w:customStyle="1" w:styleId="332">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33">
    <w:name w:val="Normal_0_1"/>
    <w:next w:val="334"/>
    <w:qFormat/>
    <w:uiPriority w:val="0"/>
    <w:rPr>
      <w:rFonts w:hint="default" w:ascii="黑体" w:hAnsi="黑体" w:eastAsia="黑体" w:cs="黑体"/>
      <w:b/>
      <w:sz w:val="32"/>
      <w:szCs w:val="24"/>
      <w:lang w:val="en-US" w:eastAsia="zh-CN" w:bidi="ar-SA"/>
    </w:rPr>
  </w:style>
  <w:style w:type="paragraph" w:customStyle="1" w:styleId="334">
    <w:name w:val="Body Text First Indent_0"/>
    <w:basedOn w:val="335"/>
    <w:unhideWhenUsed/>
    <w:qFormat/>
    <w:uiPriority w:val="99"/>
    <w:pPr>
      <w:spacing w:after="120"/>
      <w:ind w:firstLine="420"/>
    </w:pPr>
  </w:style>
  <w:style w:type="paragraph" w:customStyle="1" w:styleId="335">
    <w:name w:val="正文3"/>
    <w:next w:val="336"/>
    <w:qFormat/>
    <w:uiPriority w:val="0"/>
    <w:rPr>
      <w:rFonts w:hint="default" w:ascii="Times New Roman" w:hAnsi="Times New Roman" w:eastAsia="Times New Roman" w:cs="Times New Roman"/>
      <w:sz w:val="24"/>
      <w:szCs w:val="24"/>
      <w:lang w:val="en-US" w:eastAsia="zh-CN" w:bidi="ar-SA"/>
    </w:rPr>
  </w:style>
  <w:style w:type="paragraph" w:customStyle="1" w:styleId="336">
    <w:name w:val="正文首行缩进3"/>
    <w:basedOn w:val="71"/>
    <w:unhideWhenUsed/>
    <w:qFormat/>
    <w:uiPriority w:val="99"/>
    <w:pPr>
      <w:spacing w:after="120"/>
      <w:ind w:firstLine="420"/>
    </w:pPr>
    <w:rPr>
      <w:sz w:val="20"/>
    </w:rPr>
  </w:style>
  <w:style w:type="paragraph" w:customStyle="1" w:styleId="337">
    <w:name w:val="Normal_1_1"/>
    <w:qFormat/>
    <w:uiPriority w:val="0"/>
    <w:rPr>
      <w:rFonts w:hint="default" w:ascii="黑体" w:hAnsi="黑体" w:eastAsia="黑体" w:cs="黑体"/>
      <w:b/>
      <w:sz w:val="32"/>
      <w:szCs w:val="24"/>
      <w:lang w:val="en-US" w:eastAsia="zh-CN" w:bidi="ar-SA"/>
    </w:rPr>
  </w:style>
  <w:style w:type="paragraph" w:customStyle="1" w:styleId="338">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9">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0">
    <w:name w:val="Normal_2_0"/>
    <w:qFormat/>
    <w:uiPriority w:val="0"/>
    <w:rPr>
      <w:rFonts w:hint="default" w:ascii="黑体" w:hAnsi="黑体" w:eastAsia="黑体" w:cs="黑体"/>
      <w:b/>
      <w:sz w:val="32"/>
      <w:szCs w:val="24"/>
      <w:lang w:val="en-US" w:eastAsia="zh-CN" w:bidi="ar-SA"/>
    </w:rPr>
  </w:style>
  <w:style w:type="paragraph" w:customStyle="1" w:styleId="341">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2">
    <w:name w:val="Normal_4_0"/>
    <w:qFormat/>
    <w:uiPriority w:val="0"/>
    <w:rPr>
      <w:rFonts w:hint="default" w:ascii="黑体" w:hAnsi="黑体" w:eastAsia="黑体" w:cs="黑体"/>
      <w:b/>
      <w:sz w:val="32"/>
      <w:szCs w:val="24"/>
      <w:lang w:val="en-US" w:eastAsia="zh-CN" w:bidi="ar-SA"/>
    </w:rPr>
  </w:style>
  <w:style w:type="paragraph" w:customStyle="1" w:styleId="343">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4">
    <w:name w:val="Normal_6_0"/>
    <w:qFormat/>
    <w:uiPriority w:val="0"/>
    <w:rPr>
      <w:rFonts w:hint="default" w:ascii="黑体" w:hAnsi="黑体" w:eastAsia="黑体" w:cs="黑体"/>
      <w:b/>
      <w:sz w:val="32"/>
      <w:szCs w:val="24"/>
      <w:lang w:val="en-US" w:eastAsia="zh-CN" w:bidi="ar-SA"/>
    </w:rPr>
  </w:style>
  <w:style w:type="paragraph" w:customStyle="1" w:styleId="345">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6">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7">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8">
    <w:name w:val="Normal_7_0"/>
    <w:qFormat/>
    <w:uiPriority w:val="0"/>
    <w:rPr>
      <w:rFonts w:hint="default" w:ascii="黑体" w:hAnsi="黑体" w:eastAsia="黑体" w:cs="黑体"/>
      <w:b/>
      <w:sz w:val="32"/>
      <w:szCs w:val="24"/>
      <w:lang w:val="en-US" w:eastAsia="zh-CN" w:bidi="ar-SA"/>
    </w:rPr>
  </w:style>
  <w:style w:type="paragraph" w:customStyle="1" w:styleId="349">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50">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51">
    <w:name w:val="Normal_10_0"/>
    <w:qFormat/>
    <w:uiPriority w:val="0"/>
    <w:rPr>
      <w:rFonts w:hint="default" w:ascii="黑体" w:hAnsi="黑体" w:eastAsia="黑体" w:cs="黑体"/>
      <w:b/>
      <w:sz w:val="32"/>
      <w:szCs w:val="24"/>
      <w:lang w:val="en-US" w:eastAsia="zh-CN" w:bidi="ar-SA"/>
    </w:rPr>
  </w:style>
  <w:style w:type="paragraph" w:customStyle="1" w:styleId="352">
    <w:name w:val="正文_3"/>
    <w:next w:val="35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3">
    <w:name w:val="正文首行缩进 2_1"/>
    <w:basedOn w:val="354"/>
    <w:next w:val="356"/>
    <w:qFormat/>
    <w:uiPriority w:val="0"/>
    <w:pPr>
      <w:spacing w:after="120"/>
      <w:ind w:left="200" w:firstLine="200"/>
    </w:pPr>
    <w:rPr>
      <w:rFonts w:ascii="Times New Roman"/>
      <w:szCs w:val="24"/>
    </w:rPr>
  </w:style>
  <w:style w:type="paragraph" w:customStyle="1" w:styleId="354">
    <w:name w:val="正文文本缩进_1"/>
    <w:basedOn w:val="355"/>
    <w:next w:val="353"/>
    <w:qFormat/>
    <w:uiPriority w:val="0"/>
    <w:pPr>
      <w:ind w:firstLine="225"/>
    </w:pPr>
    <w:rPr>
      <w:rFonts w:ascii="仿宋_GB2312" w:eastAsia="仿宋_GB2312"/>
      <w:sz w:val="32"/>
    </w:rPr>
  </w:style>
  <w:style w:type="paragraph" w:customStyle="1" w:styleId="355">
    <w:name w:val="正文_18"/>
    <w:next w:val="35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xl53_0"/>
    <w:next w:val="352"/>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7">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8">
    <w:name w:val="Normal_11_0"/>
    <w:qFormat/>
    <w:uiPriority w:val="0"/>
    <w:rPr>
      <w:rFonts w:hint="default" w:ascii="黑体" w:hAnsi="黑体" w:eastAsia="黑体" w:cs="黑体"/>
      <w:b/>
      <w:sz w:val="32"/>
      <w:szCs w:val="24"/>
      <w:lang w:val="en-US" w:eastAsia="zh-CN" w:bidi="ar-SA"/>
    </w:rPr>
  </w:style>
  <w:style w:type="paragraph" w:customStyle="1" w:styleId="359">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0">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1">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63">
    <w:name w:val="列出段落_2"/>
    <w:basedOn w:val="361"/>
    <w:qFormat/>
    <w:uiPriority w:val="34"/>
    <w:pPr>
      <w:ind w:firstLine="420"/>
    </w:pPr>
  </w:style>
  <w:style w:type="paragraph" w:customStyle="1" w:styleId="364">
    <w:name w:val="Normal_13_0"/>
    <w:qFormat/>
    <w:uiPriority w:val="0"/>
    <w:rPr>
      <w:rFonts w:hint="default" w:ascii="黑体" w:hAnsi="黑体" w:eastAsia="黑体" w:cs="黑体"/>
      <w:b/>
      <w:sz w:val="32"/>
      <w:szCs w:val="24"/>
      <w:lang w:val="en-US" w:eastAsia="zh-CN" w:bidi="ar-SA"/>
    </w:rPr>
  </w:style>
  <w:style w:type="paragraph" w:customStyle="1" w:styleId="365">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纯文本_0_0"/>
    <w:basedOn w:val="365"/>
    <w:unhideWhenUsed/>
    <w:qFormat/>
    <w:uiPriority w:val="0"/>
    <w:rPr>
      <w:rFonts w:ascii="宋体" w:hAnsi="Courier New"/>
      <w:szCs w:val="21"/>
    </w:rPr>
  </w:style>
  <w:style w:type="paragraph" w:customStyle="1" w:styleId="367">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8">
    <w:name w:val="Normal_14_0"/>
    <w:qFormat/>
    <w:uiPriority w:val="0"/>
    <w:rPr>
      <w:rFonts w:hint="default" w:ascii="黑体" w:hAnsi="黑体" w:eastAsia="黑体" w:cs="黑体"/>
      <w:b/>
      <w:sz w:val="32"/>
      <w:szCs w:val="24"/>
      <w:lang w:val="en-US" w:eastAsia="zh-CN" w:bidi="ar-SA"/>
    </w:rPr>
  </w:style>
  <w:style w:type="paragraph" w:customStyle="1" w:styleId="369">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0">
    <w:name w:val="Normal_15_0"/>
    <w:qFormat/>
    <w:uiPriority w:val="0"/>
    <w:rPr>
      <w:rFonts w:hint="default" w:ascii="黑体" w:hAnsi="黑体" w:eastAsia="黑体" w:cs="黑体"/>
      <w:b/>
      <w:sz w:val="32"/>
      <w:szCs w:val="24"/>
      <w:lang w:val="en-US" w:eastAsia="zh-CN" w:bidi="ar-SA"/>
    </w:rPr>
  </w:style>
  <w:style w:type="paragraph" w:customStyle="1" w:styleId="371">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2">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3">
    <w:name w:val="Normal_16_0"/>
    <w:qFormat/>
    <w:uiPriority w:val="0"/>
    <w:rPr>
      <w:rFonts w:hint="default" w:ascii="黑体" w:hAnsi="黑体" w:eastAsia="黑体" w:cs="黑体"/>
      <w:b/>
      <w:sz w:val="32"/>
      <w:szCs w:val="24"/>
      <w:lang w:val="en-US" w:eastAsia="zh-CN" w:bidi="ar-SA"/>
    </w:rPr>
  </w:style>
  <w:style w:type="paragraph" w:customStyle="1" w:styleId="374">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5">
    <w:name w:val="Normal_17_0"/>
    <w:qFormat/>
    <w:uiPriority w:val="0"/>
    <w:rPr>
      <w:rFonts w:hint="default" w:ascii="黑体" w:hAnsi="黑体" w:eastAsia="黑体" w:cs="黑体"/>
      <w:b/>
      <w:sz w:val="32"/>
      <w:szCs w:val="24"/>
      <w:lang w:val="en-US" w:eastAsia="zh-CN" w:bidi="ar-SA"/>
    </w:rPr>
  </w:style>
  <w:style w:type="paragraph" w:customStyle="1" w:styleId="376">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Normal_18_0"/>
    <w:qFormat/>
    <w:uiPriority w:val="0"/>
    <w:rPr>
      <w:rFonts w:hint="default" w:ascii="黑体" w:hAnsi="黑体" w:eastAsia="黑体" w:cs="黑体"/>
      <w:b/>
      <w:sz w:val="32"/>
      <w:szCs w:val="24"/>
      <w:lang w:val="en-US" w:eastAsia="zh-CN" w:bidi="ar-SA"/>
    </w:rPr>
  </w:style>
  <w:style w:type="paragraph" w:customStyle="1" w:styleId="378">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9">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Normal_14_0_0"/>
    <w:qFormat/>
    <w:uiPriority w:val="0"/>
    <w:rPr>
      <w:rFonts w:hint="default" w:ascii="黑体" w:hAnsi="黑体" w:eastAsia="黑体" w:cs="Times New Roman"/>
      <w:b/>
      <w:sz w:val="32"/>
      <w:szCs w:val="24"/>
      <w:lang w:val="en-US" w:eastAsia="zh-CN" w:bidi="ar-SA"/>
    </w:rPr>
  </w:style>
  <w:style w:type="paragraph" w:customStyle="1" w:styleId="381">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3">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4">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5">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6">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7">
    <w:name w:val="Normal Indent_0"/>
    <w:basedOn w:val="165"/>
    <w:qFormat/>
    <w:uiPriority w:val="0"/>
    <w:pPr>
      <w:ind w:firstLine="420"/>
    </w:pPr>
    <w:rPr>
      <w:rFonts w:ascii="宋体" w:eastAsia="Times New Roman"/>
      <w:color w:val="000000"/>
      <w:sz w:val="24"/>
      <w:szCs w:val="20"/>
    </w:rPr>
  </w:style>
  <w:style w:type="paragraph" w:customStyle="1" w:styleId="388">
    <w:name w:val="Heading 3_0"/>
    <w:basedOn w:val="165"/>
    <w:next w:val="165"/>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9">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0">
    <w:name w:val="正文2"/>
    <w:basedOn w:val="1"/>
    <w:qFormat/>
    <w:uiPriority w:val="0"/>
    <w:pPr>
      <w:spacing w:before="156" w:line="360" w:lineRule="auto"/>
      <w:ind w:firstLine="510"/>
    </w:pPr>
    <w:rPr>
      <w:sz w:val="24"/>
      <w:szCs w:val="20"/>
    </w:rPr>
  </w:style>
  <w:style w:type="paragraph" w:customStyle="1" w:styleId="391">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92">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93">
    <w:name w:val="Normal_19_1_0"/>
    <w:next w:val="394"/>
    <w:qFormat/>
    <w:uiPriority w:val="0"/>
    <w:pPr>
      <w:widowControl w:val="0"/>
      <w:jc w:val="both"/>
    </w:pPr>
    <w:rPr>
      <w:rFonts w:hint="default" w:ascii="Calibri" w:hAnsi="Calibri" w:eastAsia="宋体" w:cs="Times New Roman"/>
      <w:szCs w:val="24"/>
      <w:lang w:val="en-US" w:eastAsia="zh-CN" w:bidi="ar-SA"/>
    </w:rPr>
  </w:style>
  <w:style w:type="paragraph" w:customStyle="1" w:styleId="394">
    <w:name w:val="正文_16_0"/>
    <w:basedOn w:val="355"/>
    <w:next w:val="353"/>
    <w:qFormat/>
    <w:uiPriority w:val="0"/>
    <w:rPr>
      <w:rFonts w:ascii="Times New Roman" w:hAnsi="Times New Roman"/>
    </w:rPr>
  </w:style>
  <w:style w:type="paragraph" w:customStyle="1" w:styleId="395">
    <w:name w:val="Normal_19_0"/>
    <w:basedOn w:val="210"/>
    <w:qFormat/>
    <w:uiPriority w:val="0"/>
    <w:rPr>
      <w:szCs w:val="24"/>
    </w:rPr>
  </w:style>
  <w:style w:type="paragraph" w:customStyle="1" w:styleId="396">
    <w:name w:val="Body Text First Indent_1_0"/>
    <w:basedOn w:val="395"/>
    <w:qFormat/>
    <w:uiPriority w:val="0"/>
    <w:pPr>
      <w:spacing w:after="120"/>
      <w:ind w:firstLine="100"/>
    </w:pPr>
  </w:style>
  <w:style w:type="paragraph" w:customStyle="1" w:styleId="397">
    <w:name w:val="Body Text_0"/>
    <w:basedOn w:val="395"/>
    <w:qFormat/>
    <w:uiPriority w:val="0"/>
    <w:pPr>
      <w:spacing w:line="60" w:lineRule="auto"/>
    </w:pPr>
    <w:rPr>
      <w:rFonts w:ascii="仿宋_GB2312" w:eastAsia="仿宋_GB2312"/>
      <w:sz w:val="32"/>
    </w:rPr>
  </w:style>
  <w:style w:type="paragraph" w:customStyle="1" w:styleId="398">
    <w:name w:val="Normal_19_1"/>
    <w:next w:val="189"/>
    <w:qFormat/>
    <w:uiPriority w:val="0"/>
    <w:pPr>
      <w:widowControl w:val="0"/>
      <w:jc w:val="both"/>
    </w:pPr>
    <w:rPr>
      <w:rFonts w:hint="default" w:ascii="Calibri" w:hAnsi="Calibri" w:eastAsia="宋体" w:cs="Times New Roman"/>
      <w:szCs w:val="24"/>
      <w:lang w:val="en-US" w:eastAsia="zh-CN" w:bidi="ar-SA"/>
    </w:rPr>
  </w:style>
  <w:style w:type="paragraph" w:customStyle="1" w:styleId="399">
    <w:name w:val="正文_6_0_0"/>
    <w:qFormat/>
    <w:uiPriority w:val="0"/>
    <w:pPr>
      <w:widowControl w:val="0"/>
      <w:jc w:val="both"/>
    </w:pPr>
    <w:rPr>
      <w:rFonts w:hint="default" w:ascii="Calibri" w:hAnsi="Calibri" w:eastAsia="宋体" w:cs="Times New Roman"/>
      <w:lang w:val="en-US" w:eastAsia="zh-CN" w:bidi="ar-SA"/>
    </w:rPr>
  </w:style>
  <w:style w:type="paragraph" w:customStyle="1" w:styleId="400">
    <w:name w:val="正文_7_1"/>
    <w:qFormat/>
    <w:uiPriority w:val="0"/>
    <w:pPr>
      <w:widowControl w:val="0"/>
      <w:jc w:val="both"/>
    </w:pPr>
    <w:rPr>
      <w:rFonts w:hint="default" w:ascii="Calibri" w:hAnsi="Calibri" w:eastAsia="宋体" w:cs="Times New Roman"/>
      <w:lang w:val="en-US" w:eastAsia="zh-CN" w:bidi="ar-SA"/>
    </w:rPr>
  </w:style>
  <w:style w:type="paragraph" w:customStyle="1" w:styleId="401">
    <w:name w:val="正文1_1"/>
    <w:basedOn w:val="349"/>
    <w:qFormat/>
    <w:uiPriority w:val="0"/>
    <w:pPr>
      <w:widowControl w:val="0"/>
      <w:jc w:val="both"/>
    </w:pPr>
    <w:rPr>
      <w:sz w:val="20"/>
      <w:szCs w:val="20"/>
    </w:rPr>
  </w:style>
  <w:style w:type="paragraph" w:customStyle="1" w:styleId="402">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403">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404">
    <w:name w:val="Normal_16_1"/>
    <w:qFormat/>
    <w:uiPriority w:val="0"/>
    <w:rPr>
      <w:rFonts w:hint="default" w:ascii="黑体" w:hAnsi="黑体" w:eastAsia="黑体" w:cs="Times New Roman"/>
      <w:b/>
      <w:sz w:val="32"/>
      <w:szCs w:val="24"/>
      <w:lang w:val="en-US" w:eastAsia="zh-CN" w:bidi="ar-SA"/>
    </w:rPr>
  </w:style>
  <w:style w:type="paragraph" w:customStyle="1" w:styleId="405">
    <w:name w:val="Normal_19_0_1"/>
    <w:qFormat/>
    <w:uiPriority w:val="0"/>
    <w:rPr>
      <w:rFonts w:hint="default" w:ascii="Tahoma" w:hAnsi="Tahoma" w:eastAsia="微软雅黑" w:cs="Times New Roman"/>
      <w:lang w:val="en-US" w:eastAsia="zh-CN" w:bidi="ar-SA"/>
    </w:rPr>
  </w:style>
  <w:style w:type="paragraph" w:customStyle="1" w:styleId="406">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7">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8">
    <w:name w:val="Normal_17_0_0"/>
    <w:qFormat/>
    <w:uiPriority w:val="0"/>
    <w:rPr>
      <w:rFonts w:hint="default" w:ascii="黑体" w:hAnsi="黑体" w:eastAsia="黑体" w:cs="Times New Roman"/>
      <w:b/>
      <w:sz w:val="32"/>
      <w:szCs w:val="24"/>
      <w:lang w:val="en-US" w:eastAsia="zh-CN" w:bidi="ar-SA"/>
    </w:rPr>
  </w:style>
  <w:style w:type="paragraph" w:customStyle="1" w:styleId="409">
    <w:name w:val="Normal_19_0_1_0"/>
    <w:qFormat/>
    <w:uiPriority w:val="0"/>
    <w:rPr>
      <w:rFonts w:hint="default" w:ascii="Tahoma" w:hAnsi="Tahoma" w:eastAsia="微软雅黑" w:cs="Times New Roman"/>
      <w:lang w:val="en-US" w:eastAsia="zh-CN" w:bidi="ar-SA"/>
    </w:rPr>
  </w:style>
  <w:style w:type="paragraph" w:customStyle="1" w:styleId="410">
    <w:name w:val="Normal_19_3"/>
    <w:next w:val="411"/>
    <w:qFormat/>
    <w:uiPriority w:val="0"/>
    <w:pPr>
      <w:widowControl w:val="0"/>
      <w:jc w:val="both"/>
    </w:pPr>
    <w:rPr>
      <w:rFonts w:hint="default" w:ascii="Calibri" w:hAnsi="Calibri" w:eastAsia="Times New Roman" w:cs="Times New Roman"/>
      <w:szCs w:val="24"/>
      <w:lang w:val="en-US" w:eastAsia="zh-CN" w:bidi="ar-SA"/>
    </w:rPr>
  </w:style>
  <w:style w:type="paragraph" w:customStyle="1" w:styleId="411">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2">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13">
    <w:name w:val="custom-tag-placeholder-class"/>
    <w:qFormat/>
    <w:uiPriority w:val="0"/>
  </w:style>
  <w:style w:type="paragraph" w:customStyle="1" w:styleId="414">
    <w:name w:val="Normal_19_0_0"/>
    <w:basedOn w:val="165"/>
    <w:next w:val="415"/>
    <w:qFormat/>
    <w:uiPriority w:val="0"/>
    <w:rPr>
      <w:rFonts w:ascii="Calibri" w:hAnsi="Calibri" w:eastAsia="Times New Roman"/>
      <w:sz w:val="24"/>
    </w:rPr>
  </w:style>
  <w:style w:type="paragraph" w:customStyle="1" w:styleId="415">
    <w:name w:val="Body Text First Indent_1_0_0"/>
    <w:basedOn w:val="414"/>
    <w:qFormat/>
    <w:uiPriority w:val="0"/>
    <w:pPr>
      <w:spacing w:after="120"/>
      <w:ind w:firstLine="100"/>
    </w:pPr>
  </w:style>
  <w:style w:type="paragraph" w:customStyle="1" w:styleId="416">
    <w:name w:val="List Paragraph_0"/>
    <w:basedOn w:val="329"/>
    <w:qFormat/>
    <w:uiPriority w:val="0"/>
    <w:pPr>
      <w:ind w:firstLine="420"/>
    </w:pPr>
  </w:style>
  <w:style w:type="paragraph" w:customStyle="1" w:styleId="417">
    <w:name w:val="纯文本_1"/>
    <w:basedOn w:val="7"/>
    <w:qFormat/>
    <w:uiPriority w:val="0"/>
    <w:rPr>
      <w:rFonts w:ascii="宋体" w:hAnsi="Times New Roman"/>
      <w:sz w:val="20"/>
      <w:szCs w:val="21"/>
    </w:rPr>
  </w:style>
  <w:style w:type="paragraph" w:customStyle="1" w:styleId="418">
    <w:name w:val="正文_16_0_0"/>
    <w:next w:val="19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9">
    <w:name w:val="正文_11_0"/>
    <w:basedOn w:val="190"/>
    <w:qFormat/>
    <w:uiPriority w:val="0"/>
    <w:rPr>
      <w:rFonts w:ascii="Calibri" w:hAnsi="Calibri"/>
      <w:szCs w:val="20"/>
    </w:rPr>
  </w:style>
  <w:style w:type="paragraph" w:customStyle="1" w:styleId="420">
    <w:name w:val="Normal_19_0_0_0"/>
    <w:basedOn w:val="5"/>
    <w:qFormat/>
    <w:uiPriority w:val="0"/>
    <w:rPr>
      <w:rFonts w:cs="黑体"/>
      <w:szCs w:val="24"/>
    </w:rPr>
  </w:style>
  <w:style w:type="paragraph" w:customStyle="1" w:styleId="421">
    <w:name w:val="无间隔11"/>
    <w:basedOn w:val="335"/>
    <w:qFormat/>
    <w:uiPriority w:val="0"/>
    <w:rPr>
      <w:rFonts w:ascii="Calibri" w:hAnsi="Calibri" w:cs="Calibri"/>
    </w:rPr>
  </w:style>
  <w:style w:type="paragraph" w:customStyle="1" w:styleId="422">
    <w:name w:val="标题 31"/>
    <w:basedOn w:val="335"/>
    <w:next w:val="335"/>
    <w:qFormat/>
    <w:uiPriority w:val="0"/>
    <w:pPr>
      <w:keepNext/>
      <w:keepLines/>
      <w:spacing w:before="260" w:after="260" w:line="413" w:lineRule="auto"/>
      <w:outlineLvl w:val="2"/>
    </w:pPr>
    <w:rPr>
      <w:b/>
      <w:sz w:val="32"/>
      <w:szCs w:val="20"/>
    </w:rPr>
  </w:style>
  <w:style w:type="character" w:customStyle="1" w:styleId="423">
    <w:name w:val="标题 2 Char_0"/>
    <w:link w:val="424"/>
    <w:qFormat/>
    <w:uiPriority w:val="0"/>
    <w:rPr>
      <w:rFonts w:ascii="Arial" w:hAnsi="Arial" w:eastAsia="黑体"/>
      <w:b/>
      <w:sz w:val="32"/>
      <w:szCs w:val="22"/>
    </w:rPr>
  </w:style>
  <w:style w:type="paragraph" w:customStyle="1" w:styleId="424">
    <w:name w:val="标题 21"/>
    <w:basedOn w:val="6"/>
    <w:next w:val="6"/>
    <w:link w:val="423"/>
    <w:unhideWhenUsed/>
    <w:qFormat/>
    <w:uiPriority w:val="0"/>
    <w:pPr>
      <w:keepNext/>
      <w:keepLines/>
      <w:spacing w:before="260" w:after="260" w:line="413" w:lineRule="auto"/>
      <w:outlineLvl w:val="1"/>
    </w:pPr>
    <w:rPr>
      <w:rFonts w:ascii="Arial" w:hAnsi="Arial"/>
      <w:szCs w:val="22"/>
    </w:rPr>
  </w:style>
  <w:style w:type="paragraph" w:customStyle="1" w:styleId="425">
    <w:name w:val="Normal_19_1_0_0"/>
    <w:next w:val="426"/>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26">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7">
    <w:name w:val="正文1_0_0"/>
    <w:basedOn w:val="6"/>
    <w:qFormat/>
    <w:uiPriority w:val="0"/>
    <w:pPr>
      <w:spacing w:line="360" w:lineRule="auto"/>
      <w:ind w:left="357" w:firstLine="420"/>
    </w:pPr>
    <w:rPr>
      <w:rFonts w:eastAsia="Times New Roman" w:cs="Arial"/>
    </w:rPr>
  </w:style>
  <w:style w:type="paragraph" w:customStyle="1" w:styleId="428">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9">
    <w:name w:val="正文空2字"/>
    <w:basedOn w:val="430"/>
    <w:qFormat/>
    <w:uiPriority w:val="99"/>
    <w:pPr>
      <w:widowControl w:val="0"/>
      <w:spacing w:line="560" w:lineRule="exact"/>
      <w:ind w:firstLine="640"/>
    </w:pPr>
    <w:rPr>
      <w:rFonts w:ascii="仿宋_GB2312" w:hAnsi="仿宋_GB2312" w:cs="仿宋_GB2312"/>
      <w:lang w:val="zh-TW"/>
    </w:rPr>
  </w:style>
  <w:style w:type="paragraph" w:customStyle="1" w:styleId="430">
    <w:name w:val="左对齐正文"/>
    <w:qFormat/>
    <w:uiPriority w:val="99"/>
    <w:rPr>
      <w:rFonts w:hint="default" w:ascii="Calibri" w:hAnsi="Calibri" w:eastAsia="仿宋_GB2312" w:cs="Calibri"/>
      <w:sz w:val="32"/>
      <w:szCs w:val="32"/>
      <w:lang w:val="en-US" w:eastAsia="zh-CN" w:bidi="ar-SA"/>
    </w:rPr>
  </w:style>
  <w:style w:type="paragraph" w:customStyle="1" w:styleId="431">
    <w:name w:val="普通(网站)1"/>
    <w:basedOn w:val="1"/>
    <w:qFormat/>
    <w:uiPriority w:val="0"/>
    <w:rPr>
      <w:sz w:val="24"/>
    </w:rPr>
  </w:style>
  <w:style w:type="character" w:customStyle="1" w:styleId="432">
    <w:name w:val="16"/>
    <w:qFormat/>
    <w:uiPriority w:val="0"/>
    <w:rPr>
      <w:rFonts w:ascii="Times New Roman" w:hAnsi="Times New Roman"/>
      <w:sz w:val="21"/>
      <w:szCs w:val="21"/>
      <w:lang w:val="en-US" w:eastAsia="zh-CN" w:bidi="ar-SA"/>
    </w:rPr>
  </w:style>
  <w:style w:type="paragraph" w:customStyle="1" w:styleId="433">
    <w:name w:val="正文文本_0"/>
    <w:basedOn w:val="329"/>
    <w:next w:val="434"/>
    <w:qFormat/>
    <w:uiPriority w:val="0"/>
    <w:pPr>
      <w:spacing w:line="60" w:lineRule="auto"/>
    </w:pPr>
    <w:rPr>
      <w:rFonts w:ascii="仿宋_GB2312" w:eastAsia="仿宋_GB2312"/>
      <w:sz w:val="32"/>
    </w:rPr>
  </w:style>
  <w:style w:type="paragraph" w:customStyle="1" w:styleId="434">
    <w:name w:val="正文缩进_1"/>
    <w:basedOn w:val="329"/>
    <w:next w:val="329"/>
    <w:qFormat/>
    <w:uiPriority w:val="0"/>
    <w:pPr>
      <w:ind w:firstLine="420"/>
    </w:pPr>
    <w:rPr>
      <w:rFonts w:ascii="宋体"/>
      <w:color w:val="000000"/>
      <w:sz w:val="24"/>
      <w:szCs w:val="20"/>
    </w:rPr>
  </w:style>
  <w:style w:type="paragraph" w:customStyle="1" w:styleId="435">
    <w:name w:val="Table Paragraph"/>
    <w:basedOn w:val="165"/>
    <w:qFormat/>
    <w:uiPriority w:val="1"/>
    <w:rPr>
      <w:rFonts w:ascii="宋体" w:hAnsi="宋体" w:cs="宋体"/>
      <w:sz w:val="22"/>
      <w:lang w:val="zh-CN" w:bidi="zh-CN"/>
    </w:rPr>
  </w:style>
  <w:style w:type="paragraph" w:customStyle="1" w:styleId="436">
    <w:name w:val="Normal_19_2"/>
    <w:basedOn w:val="437"/>
    <w:qFormat/>
    <w:uiPriority w:val="0"/>
    <w:rPr>
      <w:rFonts w:ascii="Times New Roman" w:hAnsi="Times New Roman"/>
      <w:szCs w:val="21"/>
    </w:rPr>
  </w:style>
  <w:style w:type="paragraph" w:customStyle="1" w:styleId="437">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8">
    <w:name w:val="正文文本2"/>
    <w:basedOn w:val="188"/>
    <w:qFormat/>
    <w:uiPriority w:val="0"/>
    <w:pPr>
      <w:spacing w:line="60" w:lineRule="auto"/>
    </w:pPr>
    <w:rPr>
      <w:rFonts w:ascii="仿宋_GB2312" w:eastAsia="仿宋_GB2312"/>
      <w:sz w:val="32"/>
      <w:szCs w:val="22"/>
    </w:rPr>
  </w:style>
  <w:style w:type="paragraph" w:customStyle="1" w:styleId="439">
    <w:name w:val="正文1_0"/>
    <w:basedOn w:val="7"/>
    <w:qFormat/>
    <w:uiPriority w:val="0"/>
    <w:pPr>
      <w:widowControl/>
      <w:spacing w:line="360" w:lineRule="auto"/>
      <w:ind w:left="357" w:firstLine="420"/>
      <w:jc w:val="left"/>
    </w:pPr>
    <w:rPr>
      <w:rFonts w:cs="Arial"/>
      <w:szCs w:val="20"/>
    </w:rPr>
  </w:style>
  <w:style w:type="paragraph" w:customStyle="1" w:styleId="440">
    <w:name w:val="Normal_19_2_0"/>
    <w:basedOn w:val="441"/>
    <w:qFormat/>
    <w:uiPriority w:val="0"/>
    <w:rPr>
      <w:rFonts w:ascii="Times New Roman" w:hAnsi="Times New Roman"/>
      <w:szCs w:val="21"/>
    </w:rPr>
  </w:style>
  <w:style w:type="paragraph" w:customStyle="1" w:styleId="441">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2">
    <w:name w:val="正文缩进1"/>
    <w:basedOn w:val="1"/>
    <w:qFormat/>
    <w:uiPriority w:val="0"/>
    <w:pPr>
      <w:ind w:firstLine="420"/>
      <w:jc w:val="left"/>
    </w:pPr>
    <w:rPr>
      <w:rFonts w:ascii="宋体"/>
      <w:sz w:val="24"/>
    </w:rPr>
  </w:style>
  <w:style w:type="paragraph" w:customStyle="1" w:styleId="443">
    <w:name w:val="纯文本1"/>
    <w:basedOn w:val="189"/>
    <w:qFormat/>
    <w:uiPriority w:val="0"/>
    <w:rPr>
      <w:rFonts w:ascii="宋体" w:hAnsi="Courier New"/>
    </w:rPr>
  </w:style>
  <w:style w:type="paragraph" w:customStyle="1" w:styleId="444">
    <w:name w:val="Normal_21_0"/>
    <w:next w:val="44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5">
    <w:name w:val="Heading 1_0"/>
    <w:basedOn w:val="444"/>
    <w:next w:val="444"/>
    <w:qFormat/>
    <w:uiPriority w:val="0"/>
    <w:pPr>
      <w:keepNext/>
      <w:keepLines/>
      <w:spacing w:before="240" w:after="120" w:line="300" w:lineRule="auto"/>
      <w:jc w:val="center"/>
      <w:outlineLvl w:val="0"/>
    </w:pPr>
    <w:rPr>
      <w:rFonts w:ascii="宋体"/>
      <w:b/>
      <w:sz w:val="32"/>
      <w:szCs w:val="20"/>
    </w:rPr>
  </w:style>
  <w:style w:type="paragraph" w:customStyle="1" w:styleId="446">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47">
    <w:name w:val="正文文本 字符"/>
    <w:qFormat/>
    <w:uiPriority w:val="0"/>
    <w:rPr>
      <w:rFonts w:ascii="楷体_GB2312" w:hAnsi="Arial" w:eastAsia="楷体_GB2312" w:cs="Times New Roman"/>
      <w:sz w:val="28"/>
      <w:szCs w:val="28"/>
    </w:rPr>
  </w:style>
  <w:style w:type="character" w:customStyle="1" w:styleId="448">
    <w:name w:val="正文文本缩进 字符"/>
    <w:qFormat/>
    <w:uiPriority w:val="0"/>
    <w:rPr>
      <w:rFonts w:ascii="楷体_GB2312" w:hAnsi="Times New Roman" w:eastAsia="楷体_GB2312" w:cs="Times New Roman"/>
      <w:sz w:val="32"/>
      <w:szCs w:val="32"/>
    </w:rPr>
  </w:style>
  <w:style w:type="character" w:customStyle="1" w:styleId="449">
    <w:name w:val="正文文本 字符1"/>
    <w:qFormat/>
    <w:uiPriority w:val="0"/>
    <w:rPr>
      <w:rFonts w:ascii="Calibri" w:hAnsi="Calibri"/>
      <w:sz w:val="28"/>
      <w:szCs w:val="24"/>
    </w:rPr>
  </w:style>
  <w:style w:type="character" w:customStyle="1" w:styleId="450">
    <w:name w:val="正文文本首行缩进 字符"/>
    <w:qFormat/>
    <w:uiPriority w:val="0"/>
    <w:rPr>
      <w:rFonts w:ascii="仿宋_GB2312" w:hAnsi="Calibri" w:eastAsia="仿宋_GB2312"/>
      <w:sz w:val="30"/>
      <w:szCs w:val="30"/>
    </w:rPr>
  </w:style>
  <w:style w:type="paragraph" w:customStyle="1" w:styleId="451">
    <w:name w:val="索引 41"/>
    <w:basedOn w:val="1"/>
    <w:next w:val="1"/>
    <w:semiHidden/>
    <w:qFormat/>
    <w:uiPriority w:val="0"/>
    <w:pPr>
      <w:ind w:left="1260"/>
    </w:pPr>
    <w:rPr>
      <w:rFonts w:eastAsia="Calibri" w:cs="宋体"/>
      <w:sz w:val="20"/>
      <w:szCs w:val="21"/>
      <w:lang w:val="zh-CN"/>
    </w:rPr>
  </w:style>
  <w:style w:type="character" w:customStyle="1" w:styleId="452">
    <w:name w:val="font5 Char"/>
    <w:qFormat/>
    <w:uiPriority w:val="0"/>
    <w:rPr>
      <w:rFonts w:ascii="宋体" w:hAnsi="宋体" w:eastAsia="宋体"/>
      <w:sz w:val="28"/>
      <w:szCs w:val="28"/>
      <w:lang w:val="en-US" w:eastAsia="zh-CN" w:bidi="ar-SA"/>
    </w:rPr>
  </w:style>
  <w:style w:type="character" w:customStyle="1" w:styleId="453">
    <w:name w:val="二级目录 Char"/>
    <w:link w:val="454"/>
    <w:qFormat/>
    <w:uiPriority w:val="0"/>
    <w:rPr>
      <w:b/>
      <w:sz w:val="30"/>
      <w:szCs w:val="28"/>
    </w:rPr>
  </w:style>
  <w:style w:type="paragraph" w:customStyle="1" w:styleId="454">
    <w:name w:val="二级目录"/>
    <w:next w:val="1"/>
    <w:link w:val="453"/>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55">
    <w:name w:val="列出段落 Char"/>
    <w:link w:val="456"/>
    <w:qFormat/>
    <w:uiPriority w:val="0"/>
    <w:rPr>
      <w:rFonts w:ascii="Calibri" w:hAnsi="Calibri"/>
      <w:sz w:val="24"/>
      <w:szCs w:val="24"/>
      <w:lang w:eastAsia="en-US" w:bidi="en-US"/>
    </w:rPr>
  </w:style>
  <w:style w:type="paragraph" w:customStyle="1" w:styleId="456">
    <w:name w:val="列出段落1"/>
    <w:basedOn w:val="1"/>
    <w:link w:val="455"/>
    <w:qFormat/>
    <w:uiPriority w:val="0"/>
    <w:pPr>
      <w:widowControl/>
      <w:ind w:left="720"/>
      <w:contextualSpacing/>
      <w:jc w:val="left"/>
    </w:pPr>
    <w:rPr>
      <w:sz w:val="24"/>
      <w:szCs w:val="24"/>
      <w:lang w:eastAsia="en-US" w:bidi="en-US"/>
    </w:rPr>
  </w:style>
  <w:style w:type="paragraph" w:customStyle="1" w:styleId="457">
    <w:name w:val="Body Text(ch)"/>
    <w:basedOn w:val="1"/>
    <w:qFormat/>
    <w:uiPriority w:val="0"/>
    <w:pPr>
      <w:spacing w:after="120"/>
    </w:pPr>
    <w:rPr>
      <w:rFonts w:ascii="宋体" w:hAnsi="Arial"/>
      <w:bCs/>
      <w:iCs/>
      <w:szCs w:val="24"/>
    </w:rPr>
  </w:style>
  <w:style w:type="paragraph" w:customStyle="1" w:styleId="45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60">
    <w:name w:val="Char"/>
    <w:basedOn w:val="1"/>
    <w:qFormat/>
    <w:uiPriority w:val="0"/>
    <w:pPr>
      <w:tabs>
        <w:tab w:val="left" w:pos="360"/>
      </w:tabs>
      <w:ind w:firstLine="200"/>
    </w:pPr>
    <w:rPr>
      <w:rFonts w:ascii="Times New Roman" w:hAnsi="Times New Roman"/>
      <w:sz w:val="28"/>
      <w:szCs w:val="30"/>
    </w:rPr>
  </w:style>
  <w:style w:type="paragraph" w:customStyle="1" w:styleId="461">
    <w:name w:val="Char1"/>
    <w:basedOn w:val="101"/>
    <w:qFormat/>
    <w:uiPriority w:val="0"/>
    <w:rPr>
      <w:rFonts w:ascii="Tahoma" w:hAnsi="Tahoma"/>
      <w:sz w:val="24"/>
      <w:szCs w:val="24"/>
    </w:rPr>
  </w:style>
  <w:style w:type="paragraph" w:customStyle="1" w:styleId="462">
    <w:name w:val="table_lines"/>
    <w:basedOn w:val="1"/>
    <w:qFormat/>
    <w:uiPriority w:val="0"/>
    <w:pPr>
      <w:widowControl/>
      <w:jc w:val="left"/>
    </w:pPr>
    <w:rPr>
      <w:rFonts w:ascii="Times New Roman" w:hAnsi="Times New Roman"/>
      <w:sz w:val="20"/>
      <w:szCs w:val="20"/>
      <w:lang w:val="de-DE" w:eastAsia="de-DE"/>
    </w:rPr>
  </w:style>
  <w:style w:type="paragraph" w:customStyle="1" w:styleId="463">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65">
    <w:name w:val="Char Char Char Char"/>
    <w:basedOn w:val="101"/>
    <w:qFormat/>
    <w:uiPriority w:val="0"/>
    <w:pPr>
      <w:spacing w:line="360" w:lineRule="auto"/>
    </w:pPr>
    <w:rPr>
      <w:rFonts w:ascii="Tahoma" w:hAnsi="Tahoma"/>
      <w:sz w:val="24"/>
      <w:szCs w:val="24"/>
    </w:rPr>
  </w:style>
  <w:style w:type="paragraph" w:customStyle="1" w:styleId="466">
    <w:name w:val="4"/>
    <w:basedOn w:val="1"/>
    <w:next w:val="136"/>
    <w:qFormat/>
    <w:uiPriority w:val="0"/>
    <w:pPr>
      <w:spacing w:line="360" w:lineRule="auto"/>
      <w:ind w:firstLine="420"/>
    </w:pPr>
    <w:rPr>
      <w:rFonts w:ascii="Times New Roman" w:hAnsi="Times New Roman"/>
      <w:color w:val="FF0000"/>
      <w:sz w:val="24"/>
      <w:szCs w:val="24"/>
    </w:rPr>
  </w:style>
  <w:style w:type="paragraph" w:customStyle="1" w:styleId="46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8">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9">
    <w:name w:val="样式1"/>
    <w:basedOn w:val="1"/>
    <w:qFormat/>
    <w:uiPriority w:val="0"/>
    <w:pPr>
      <w:numPr>
        <w:ilvl w:val="0"/>
        <w:numId w:val="2"/>
      </w:numPr>
      <w:tabs>
        <w:tab w:val="left" w:pos="709"/>
      </w:tabs>
    </w:pPr>
    <w:rPr>
      <w:rFonts w:ascii="宋体" w:hAnsi="宋体"/>
      <w:szCs w:val="21"/>
    </w:rPr>
  </w:style>
  <w:style w:type="paragraph" w:customStyle="1" w:styleId="47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7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7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3">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80">
    <w:name w:val="Char Char Char Char1"/>
    <w:basedOn w:val="101"/>
    <w:qFormat/>
    <w:uiPriority w:val="0"/>
    <w:pPr>
      <w:spacing w:line="360" w:lineRule="auto"/>
    </w:pPr>
    <w:rPr>
      <w:rFonts w:ascii="Tahoma" w:hAnsi="Tahoma"/>
      <w:sz w:val="24"/>
      <w:szCs w:val="24"/>
    </w:rPr>
  </w:style>
  <w:style w:type="paragraph" w:customStyle="1" w:styleId="481">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8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8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4">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85">
    <w:name w:val="Table Normal"/>
    <w:qFormat/>
    <w:uiPriority w:val="0"/>
    <w:tblPr>
      <w:tblCellMar>
        <w:top w:w="0" w:type="dxa"/>
        <w:left w:w="0" w:type="dxa"/>
        <w:bottom w:w="0" w:type="dxa"/>
        <w:right w:w="0" w:type="dxa"/>
      </w:tblCellMar>
    </w:tblPr>
  </w:style>
  <w:style w:type="paragraph" w:customStyle="1" w:styleId="486">
    <w:name w:val="正文文本12"/>
    <w:basedOn w:val="1"/>
    <w:qFormat/>
    <w:uiPriority w:val="1"/>
    <w:pPr>
      <w:ind w:left="120"/>
    </w:pPr>
    <w:rPr>
      <w:rFonts w:ascii="宋体" w:hAnsi="宋体" w:cs="宋体"/>
      <w:szCs w:val="21"/>
      <w:lang w:val="zh-CN" w:bidi="zh-CN"/>
    </w:rPr>
  </w:style>
  <w:style w:type="paragraph" w:customStyle="1" w:styleId="487">
    <w:name w:val="首行缩进"/>
    <w:basedOn w:val="1"/>
    <w:qFormat/>
    <w:uiPriority w:val="0"/>
    <w:pPr>
      <w:ind w:firstLine="480"/>
    </w:pPr>
    <w:rPr>
      <w:rFonts w:ascii="Times New Roman" w:hAnsi="Times New Roman"/>
      <w:szCs w:val="21"/>
      <w:lang w:val="zh-CN"/>
    </w:rPr>
  </w:style>
  <w:style w:type="paragraph" w:customStyle="1" w:styleId="488">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9">
    <w:name w:val="15"/>
    <w:qFormat/>
    <w:uiPriority w:val="0"/>
    <w:rPr>
      <w:rFonts w:ascii="Times New Roman" w:hAnsi="Times New Roman" w:cs="Times New Roman"/>
    </w:rPr>
  </w:style>
  <w:style w:type="paragraph" w:customStyle="1" w:styleId="490">
    <w:name w:val="正文文本缩进 2_0"/>
    <w:basedOn w:val="329"/>
    <w:qFormat/>
    <w:uiPriority w:val="0"/>
    <w:pPr>
      <w:spacing w:line="540" w:lineRule="exact"/>
      <w:ind w:firstLine="720"/>
      <w:jc w:val="left"/>
    </w:pPr>
    <w:rPr>
      <w:rFonts w:ascii="仿宋_GB2312" w:hAnsi="仿宋_GB2312" w:cs="宋体"/>
      <w:sz w:val="32"/>
      <w:szCs w:val="32"/>
    </w:rPr>
  </w:style>
  <w:style w:type="character" w:customStyle="1" w:styleId="491">
    <w:name w:val="10"/>
    <w:basedOn w:val="42"/>
    <w:qFormat/>
    <w:uiPriority w:val="0"/>
    <w:rPr>
      <w:rFonts w:ascii="Times New Roman" w:hAnsi="Times New Roman" w:cs="Times New Roman"/>
    </w:rPr>
  </w:style>
  <w:style w:type="paragraph" w:customStyle="1" w:styleId="492">
    <w:name w:val="正文_16_1"/>
    <w:basedOn w:val="1"/>
    <w:qFormat/>
    <w:uiPriority w:val="0"/>
    <w:rPr>
      <w:rFonts w:ascii="Times New Roman" w:hAnsi="Times New Roman"/>
      <w:szCs w:val="21"/>
    </w:rPr>
  </w:style>
  <w:style w:type="paragraph" w:customStyle="1" w:styleId="493">
    <w:name w:val="页脚1"/>
    <w:basedOn w:val="1"/>
    <w:qFormat/>
    <w:uiPriority w:val="0"/>
    <w:pPr>
      <w:tabs>
        <w:tab w:val="center" w:pos="4153"/>
        <w:tab w:val="right" w:pos="8306"/>
      </w:tabs>
      <w:jc w:val="left"/>
    </w:pPr>
    <w:rPr>
      <w:sz w:val="18"/>
      <w:szCs w:val="18"/>
    </w:rPr>
  </w:style>
  <w:style w:type="character" w:customStyle="1" w:styleId="494">
    <w:name w:val="页码1"/>
    <w:qFormat/>
    <w:uiPriority w:val="0"/>
  </w:style>
  <w:style w:type="paragraph" w:customStyle="1" w:styleId="495">
    <w:name w:val="*正文"/>
    <w:basedOn w:val="78"/>
    <w:qFormat/>
    <w:uiPriority w:val="0"/>
    <w:pPr>
      <w:ind w:firstLine="200"/>
    </w:pPr>
    <w:rPr>
      <w:rFonts w:hAnsi="宋体"/>
      <w:szCs w:val="24"/>
    </w:rPr>
  </w:style>
  <w:style w:type="paragraph" w:customStyle="1" w:styleId="496">
    <w:name w:val="*正文_0"/>
    <w:basedOn w:val="497"/>
    <w:qFormat/>
    <w:uiPriority w:val="0"/>
    <w:pPr>
      <w:spacing w:line="360" w:lineRule="auto"/>
      <w:ind w:firstLine="200"/>
    </w:pPr>
    <w:rPr>
      <w:rFonts w:ascii="宋体" w:hAnsi="宋体" w:eastAsia="Arial" w:cs="Arial"/>
      <w:color w:val="000000"/>
      <w:sz w:val="24"/>
    </w:rPr>
  </w:style>
  <w:style w:type="paragraph" w:customStyle="1" w:styleId="497">
    <w:name w:val="正文缩进_2"/>
    <w:basedOn w:val="352"/>
    <w:unhideWhenUsed/>
    <w:qFormat/>
    <w:uiPriority w:val="0"/>
    <w:pPr>
      <w:widowControl/>
      <w:ind w:firstLine="420"/>
      <w:jc w:val="left"/>
    </w:pPr>
    <w:rPr>
      <w:rFonts w:ascii="Times New Roman" w:hAnsi="Times New Roman"/>
      <w:sz w:val="20"/>
      <w:szCs w:val="24"/>
    </w:rPr>
  </w:style>
  <w:style w:type="paragraph" w:customStyle="1" w:styleId="498">
    <w:name w:val="*正文_0_0"/>
    <w:basedOn w:val="352"/>
    <w:qFormat/>
    <w:uiPriority w:val="0"/>
    <w:pPr>
      <w:widowControl/>
      <w:spacing w:line="360" w:lineRule="auto"/>
      <w:ind w:firstLine="200"/>
      <w:jc w:val="left"/>
    </w:pPr>
    <w:rPr>
      <w:rFonts w:ascii="宋体" w:hAnsi="宋体" w:eastAsia="Arial" w:cs="Arial"/>
      <w:color w:val="000000"/>
      <w:sz w:val="24"/>
      <w:szCs w:val="24"/>
    </w:rPr>
  </w:style>
  <w:style w:type="paragraph" w:customStyle="1" w:styleId="499">
    <w:name w:val="无间隔1_0_0"/>
    <w:basedOn w:val="6"/>
    <w:qFormat/>
    <w:uiPriority w:val="0"/>
    <w:rPr>
      <w:rFonts w:ascii="Times New Roman" w:hAnsi="Times New Roman"/>
      <w:szCs w:val="21"/>
    </w:rPr>
  </w:style>
  <w:style w:type="paragraph" w:customStyle="1" w:styleId="500">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501">
    <w:name w:val="标题 4_0"/>
    <w:basedOn w:val="502"/>
    <w:next w:val="502"/>
    <w:unhideWhenUsed/>
    <w:qFormat/>
    <w:uiPriority w:val="9"/>
    <w:pPr>
      <w:keepNext/>
      <w:keepLines/>
      <w:spacing w:before="280" w:after="290" w:line="372" w:lineRule="auto"/>
      <w:outlineLvl w:val="3"/>
    </w:pPr>
    <w:rPr>
      <w:rFonts w:ascii="Arial" w:hAnsi="Arial" w:eastAsia="黑体"/>
      <w:b/>
      <w:sz w:val="28"/>
    </w:rPr>
  </w:style>
  <w:style w:type="paragraph" w:customStyle="1" w:styleId="502">
    <w:name w:val="正文4"/>
    <w:qFormat/>
    <w:uiPriority w:val="0"/>
    <w:pPr>
      <w:widowControl w:val="0"/>
      <w:jc w:val="both"/>
    </w:pPr>
    <w:rPr>
      <w:rFonts w:hint="default" w:ascii="Calibri" w:hAnsi="Calibri" w:eastAsia="宋体" w:cs="Times New Roman"/>
      <w:lang w:val="en-US" w:eastAsia="zh-CN" w:bidi="ar-SA"/>
    </w:rPr>
  </w:style>
  <w:style w:type="paragraph" w:customStyle="1" w:styleId="503">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504">
    <w:name w:val="p17_0_0"/>
    <w:basedOn w:val="395"/>
    <w:qFormat/>
    <w:uiPriority w:val="0"/>
    <w:pPr>
      <w:widowControl/>
      <w:spacing w:before="100" w:beforeAutospacing="1" w:after="100" w:afterAutospacing="1"/>
      <w:jc w:val="left"/>
    </w:pPr>
    <w:rPr>
      <w:rFonts w:ascii="宋体" w:hAnsi="宋体" w:eastAsia="Times New Roman" w:cs="宋体"/>
      <w:sz w:val="24"/>
    </w:rPr>
  </w:style>
  <w:style w:type="paragraph" w:customStyle="1" w:styleId="505">
    <w:name w:val="p17_0"/>
    <w:basedOn w:val="6"/>
    <w:qFormat/>
    <w:uiPriority w:val="0"/>
    <w:pPr>
      <w:spacing w:before="100" w:beforeAutospacing="1" w:after="100" w:afterAutospacing="1"/>
    </w:pPr>
    <w:rPr>
      <w:rFonts w:ascii="宋体" w:hAnsi="宋体" w:eastAsia="Times New Roman" w:cs="宋体"/>
      <w:sz w:val="24"/>
    </w:rPr>
  </w:style>
  <w:style w:type="paragraph" w:customStyle="1" w:styleId="506">
    <w:name w:val="普通(网站)11"/>
    <w:basedOn w:val="1"/>
    <w:qFormat/>
    <w:uiPriority w:val="99"/>
    <w:rPr>
      <w:sz w:val="24"/>
    </w:rPr>
  </w:style>
  <w:style w:type="paragraph" w:customStyle="1" w:styleId="50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08">
    <w:name w:val="font11"/>
    <w:basedOn w:val="42"/>
    <w:qFormat/>
    <w:uiPriority w:val="0"/>
    <w:rPr>
      <w:rFonts w:hint="eastAsia" w:ascii="宋体" w:hAnsi="宋体" w:eastAsia="宋体" w:cs="宋体"/>
      <w:b/>
      <w:bCs/>
      <w:color w:val="000000"/>
      <w:sz w:val="22"/>
      <w:szCs w:val="22"/>
      <w:u w:val="none"/>
    </w:rPr>
  </w:style>
  <w:style w:type="paragraph" w:customStyle="1" w:styleId="509">
    <w:name w:val="正文_2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10">
    <w:name w:val="正文文本4"/>
    <w:basedOn w:val="188"/>
    <w:qFormat/>
    <w:uiPriority w:val="0"/>
    <w:pPr>
      <w:spacing w:line="60" w:lineRule="auto"/>
    </w:pPr>
    <w:rPr>
      <w:rFonts w:ascii="仿宋_GB2312" w:eastAsia="仿宋_GB2312"/>
      <w:sz w:val="32"/>
      <w:szCs w:val="22"/>
    </w:rPr>
  </w:style>
  <w:style w:type="paragraph" w:customStyle="1" w:styleId="511">
    <w:name w:val="正文文本11"/>
    <w:qFormat/>
    <w:uiPriority w:val="0"/>
    <w:pPr>
      <w:widowControl w:val="0"/>
      <w:jc w:val="both"/>
    </w:pPr>
    <w:rPr>
      <w:rFonts w:hint="default" w:ascii="仿宋" w:hAnsi="仿宋" w:eastAsia="仿宋" w:cs="仿宋"/>
      <w:sz w:val="32"/>
      <w:szCs w:val="32"/>
      <w:lang w:val="en-US" w:eastAsia="en-US" w:bidi="ar-SA"/>
    </w:rPr>
  </w:style>
  <w:style w:type="paragraph" w:customStyle="1" w:styleId="512">
    <w:name w:val="Normal_20_0_0_0"/>
    <w:qFormat/>
    <w:uiPriority w:val="0"/>
    <w:rPr>
      <w:rFonts w:hint="default" w:ascii="Tahoma" w:hAnsi="Tahoma" w:eastAsia="微软雅黑" w:cs="Times New Roman"/>
      <w:lang w:val="en-US" w:eastAsia="zh-CN" w:bidi="ar-SA"/>
    </w:rPr>
  </w:style>
  <w:style w:type="paragraph" w:customStyle="1" w:styleId="513">
    <w:name w:val="正文_1_0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14">
    <w:name w:val="正文_2_1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515">
    <w:name w:val="无间隔_1"/>
    <w:qFormat/>
    <w:uiPriority w:val="1"/>
    <w:rPr>
      <w:rFonts w:hint="default" w:ascii="Calibri" w:hAnsi="Calibri" w:eastAsia="宋体" w:cs="Times New Roman"/>
      <w:sz w:val="22"/>
      <w:szCs w:val="22"/>
      <w:lang w:val="en-US" w:eastAsia="zh-CN" w:bidi="ar-SA"/>
    </w:rPr>
  </w:style>
  <w:style w:type="paragraph" w:customStyle="1" w:styleId="516">
    <w:name w:val="Normal_20_0_0"/>
    <w:qFormat/>
    <w:uiPriority w:val="0"/>
    <w:rPr>
      <w:rFonts w:hint="default" w:ascii="Tahoma" w:hAnsi="Tahoma" w:eastAsia="微软雅黑" w:cs="Times New Roman"/>
      <w:lang w:val="en-US" w:eastAsia="zh-CN" w:bidi="ar-SA"/>
    </w:rPr>
  </w:style>
  <w:style w:type="paragraph" w:customStyle="1" w:styleId="517">
    <w:name w:val="首行缩进_0"/>
    <w:basedOn w:val="352"/>
    <w:qFormat/>
    <w:uiPriority w:val="0"/>
    <w:pPr>
      <w:ind w:firstLine="480"/>
      <w:jc w:val="left"/>
    </w:pPr>
    <w:rPr>
      <w:rFonts w:ascii="宋体" w:hAnsi="宋体" w:cs="宋体"/>
      <w:sz w:val="22"/>
      <w:szCs w:val="20"/>
      <w:lang w:val="zh-CN" w:eastAsia="ja-JP" w:bidi="ja-JP"/>
    </w:rPr>
  </w:style>
  <w:style w:type="paragraph" w:customStyle="1" w:styleId="518">
    <w:name w:val="正文_2_0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519">
    <w:name w:val="font21"/>
    <w:basedOn w:val="42"/>
    <w:qFormat/>
    <w:uiPriority w:val="0"/>
    <w:rPr>
      <w:rFonts w:hint="default" w:ascii="Times New Roman" w:hAnsi="Times New Roman" w:cs="Times New Roman"/>
      <w:color w:val="000000"/>
      <w:sz w:val="28"/>
      <w:szCs w:val="28"/>
      <w:u w:val="none"/>
    </w:rPr>
  </w:style>
  <w:style w:type="character" w:customStyle="1" w:styleId="520">
    <w:name w:val="font51"/>
    <w:basedOn w:val="42"/>
    <w:qFormat/>
    <w:uiPriority w:val="0"/>
    <w:rPr>
      <w:rFonts w:hint="eastAsia" w:ascii="宋体" w:hAnsi="宋体" w:eastAsia="宋体" w:cs="宋体"/>
      <w:color w:val="000000"/>
      <w:sz w:val="28"/>
      <w:szCs w:val="28"/>
      <w:u w:val="none"/>
    </w:rPr>
  </w:style>
  <w:style w:type="character" w:customStyle="1" w:styleId="521">
    <w:name w:val="font31"/>
    <w:basedOn w:val="42"/>
    <w:qFormat/>
    <w:uiPriority w:val="0"/>
    <w:rPr>
      <w:rFonts w:hint="default" w:ascii="Times New Roman" w:hAnsi="Times New Roman" w:cs="Times New Roman"/>
      <w:color w:val="000000"/>
      <w:sz w:val="28"/>
      <w:szCs w:val="28"/>
      <w:u w:val="none"/>
    </w:rPr>
  </w:style>
  <w:style w:type="paragraph" w:customStyle="1" w:styleId="522">
    <w:name w:val="正文_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3">
    <w:name w:val="UserStyle_0"/>
    <w:basedOn w:val="71"/>
    <w:qFormat/>
    <w:uiPriority w:val="0"/>
    <w:pPr>
      <w:spacing w:after="120"/>
      <w:ind w:left="420"/>
    </w:pPr>
    <w:rPr>
      <w:rFonts w:eastAsia="Times New Roman"/>
    </w:rPr>
  </w:style>
  <w:style w:type="paragraph" w:customStyle="1" w:styleId="524">
    <w:name w:val="正文文本缩进_1_0_0_0"/>
    <w:basedOn w:val="525"/>
    <w:qFormat/>
    <w:uiPriority w:val="0"/>
    <w:pPr>
      <w:ind w:firstLine="225"/>
    </w:pPr>
    <w:rPr>
      <w:rFonts w:ascii="仿宋_GB2312" w:hAnsi="Calibri" w:eastAsia="仿宋_GB2312"/>
      <w:sz w:val="32"/>
    </w:rPr>
  </w:style>
  <w:style w:type="paragraph" w:customStyle="1" w:styleId="525">
    <w:name w:val="正文_3_1_0_0"/>
    <w:next w:val="524"/>
    <w:qFormat/>
    <w:uiPriority w:val="0"/>
    <w:pPr>
      <w:widowControl w:val="0"/>
      <w:jc w:val="both"/>
    </w:pPr>
    <w:rPr>
      <w:rFonts w:hint="default"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Company>
  <Pages>67</Pages>
  <Words>2176</Words>
  <Characters>2466</Characters>
  <TotalTime>154</TotalTime>
  <ScaleCrop>false</ScaleCrop>
  <LinksUpToDate>false</LinksUpToDate>
  <CharactersWithSpaces>2547</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2023-07-25T21:07:00Z</dcterms:created>
  <dc:creator>宿迁政府采</dc:creator>
  <cp:lastModifiedBy>D· Onlyone</cp:lastModifiedBy>
  <cp:lastPrinted>2026-05-21T05:11:00Z</cp:lastPrinted>
  <dcterms:modified xsi:type="dcterms:W3CDTF">2026-05-29T02:11:13Z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eyJoZGlkIjoiN2JmMjAwMzUyOGNmYWZjY2RjNTg1ODQ3ZDkxYmY3OTkiLCJ1c2VySWQiOiIyNDE0Nzc1MjgifQ==</vt:lpwstr>
  </property>
  <property fmtid="{D5CDD505-2E9C-101B-9397-08002B2CF9AE}" pid="3" name="KSOProductBuildVer">
    <vt:lpwstr>2052-12.1.0.25835</vt:lpwstr>
  </property>
  <property fmtid="{D5CDD505-2E9C-101B-9397-08002B2CF9AE}" pid="4" name="ICV">
    <vt:lpwstr>CA0B8C8B5D994DE5908257410CBB7E4A_13</vt:lpwstr>
  </property>
</Properties>
</file>